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360" w:lineRule="auto"/>
        <w:jc w:val="center"/>
        <w:textAlignment w:val="auto"/>
        <w:outlineLvl w:val="0"/>
        <w:rPr>
          <w:rFonts w:hint="eastAsia" w:ascii="黑体" w:hAnsi="黑体" w:eastAsia="黑体" w:cs="黑体"/>
          <w:b/>
          <w:bCs/>
          <w:sz w:val="44"/>
          <w:szCs w:val="44"/>
          <w:lang w:val="en-US" w:eastAsia="zh-CN"/>
        </w:rPr>
      </w:pPr>
      <w:bookmarkStart w:id="0" w:name="_Toc18483"/>
      <w:r>
        <w:rPr>
          <w:rFonts w:hint="eastAsia" w:ascii="黑体" w:hAnsi="黑体" w:eastAsia="黑体" w:cs="黑体"/>
          <w:b/>
          <w:bCs/>
          <w:sz w:val="44"/>
          <w:szCs w:val="44"/>
        </w:rPr>
        <w:t>北京阳光消费金融股份有限公司</w:t>
      </w:r>
      <w:bookmarkEnd w:id="0"/>
      <w:r>
        <w:rPr>
          <w:rFonts w:hint="eastAsia" w:ascii="黑体" w:hAnsi="黑体" w:eastAsia="黑体" w:cs="黑体"/>
          <w:b/>
          <w:bCs/>
          <w:sz w:val="44"/>
          <w:szCs w:val="44"/>
          <w:highlight w:val="none"/>
          <w:lang w:val="en-US" w:eastAsia="zh-CN"/>
        </w:rPr>
        <w:t>2025年度</w:t>
      </w:r>
      <w:r>
        <w:rPr>
          <w:rFonts w:hint="eastAsia" w:ascii="黑体" w:hAnsi="黑体" w:eastAsia="黑体" w:cs="黑体"/>
          <w:b/>
          <w:bCs/>
          <w:sz w:val="44"/>
          <w:szCs w:val="44"/>
        </w:rPr>
        <w:t>第三支柱信息披露</w:t>
      </w:r>
      <w:r>
        <w:rPr>
          <w:rFonts w:hint="eastAsia" w:ascii="黑体" w:hAnsi="黑体" w:eastAsia="黑体" w:cs="黑体"/>
          <w:b/>
          <w:bCs/>
          <w:sz w:val="44"/>
          <w:szCs w:val="44"/>
          <w:lang w:val="en-US" w:eastAsia="zh-CN"/>
        </w:rPr>
        <w:t>公告</w:t>
      </w:r>
    </w:p>
    <w:p>
      <w:pPr>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sz w:val="44"/>
          <w:szCs w:val="44"/>
          <w:lang w:val="en-US" w:eastAsia="zh-CN"/>
        </w:rPr>
      </w:pPr>
    </w:p>
    <w:p>
      <w:pPr>
        <w:pageBreakBefore w:val="0"/>
        <w:widowControl w:val="0"/>
        <w:kinsoku/>
        <w:wordWrap/>
        <w:overflowPunct/>
        <w:topLinePunct w:val="0"/>
        <w:autoSpaceDE/>
        <w:autoSpaceDN/>
        <w:bidi w:val="0"/>
        <w:adjustRightInd/>
        <w:spacing w:line="360" w:lineRule="auto"/>
        <w:ind w:firstLine="555"/>
        <w:textAlignment w:val="auto"/>
        <w:rPr>
          <w:rFonts w:hint="eastAsia" w:ascii="黑体" w:hAnsi="黑体" w:eastAsia="黑体" w:cs="黑体"/>
          <w:szCs w:val="32"/>
          <w:lang w:val="en-US" w:eastAsia="zh-CN"/>
        </w:rPr>
      </w:pPr>
      <w:bookmarkStart w:id="1" w:name="_Toc96593508"/>
      <w:r>
        <w:rPr>
          <w:rFonts w:hint="eastAsia" w:ascii="黑体" w:hAnsi="黑体" w:eastAsia="黑体" w:cs="黑体"/>
          <w:szCs w:val="32"/>
        </w:rPr>
        <w:t>根据国家金融监督管理总局发布的《商业银行资本管理办法》（国家金融监督管理总局令2023年第4号）</w:t>
      </w:r>
      <w:r>
        <w:rPr>
          <w:rFonts w:hint="eastAsia" w:ascii="黑体" w:hAnsi="黑体" w:eastAsia="黑体" w:cs="黑体"/>
          <w:szCs w:val="32"/>
          <w:lang w:val="en-US" w:eastAsia="zh-CN"/>
        </w:rPr>
        <w:t>中关于第三支柱信息披露的要求，北京阳光消费金融股份有限公司现进行2025年度第三支柱信息披露。</w:t>
      </w:r>
      <w:bookmarkEnd w:id="1"/>
    </w:p>
    <w:p>
      <w:pPr>
        <w:pageBreakBefore w:val="0"/>
        <w:widowControl w:val="0"/>
        <w:kinsoku/>
        <w:wordWrap/>
        <w:overflowPunct/>
        <w:topLinePunct w:val="0"/>
        <w:autoSpaceDE/>
        <w:autoSpaceDN/>
        <w:bidi w:val="0"/>
        <w:adjustRightInd/>
        <w:spacing w:line="360" w:lineRule="auto"/>
        <w:ind w:firstLine="555"/>
        <w:textAlignment w:val="auto"/>
        <w:outlineLvl w:val="0"/>
        <w:rPr>
          <w:rFonts w:hint="eastAsia" w:ascii="黑体" w:hAnsi="黑体" w:eastAsia="黑体" w:cs="黑体"/>
          <w:bCs/>
          <w:sz w:val="32"/>
          <w:szCs w:val="32"/>
          <w:lang w:eastAsia="zh-CN"/>
        </w:rPr>
      </w:pPr>
      <w:bookmarkStart w:id="2" w:name="_GoBack"/>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监管并表关键审慎监管</w:t>
      </w:r>
      <w:r>
        <w:rPr>
          <w:rFonts w:hint="eastAsia" w:ascii="黑体" w:hAnsi="黑体" w:eastAsia="黑体" w:cs="黑体"/>
          <w:bCs/>
          <w:sz w:val="32"/>
          <w:szCs w:val="32"/>
        </w:rPr>
        <w:t>指标</w:t>
      </w:r>
    </w:p>
    <w:p>
      <w:pPr>
        <w:snapToGrid w:val="0"/>
        <w:spacing w:line="360" w:lineRule="auto"/>
        <w:ind w:left="1"/>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rPr>
        <w:t>表1</w:t>
      </w:r>
      <w:r>
        <w:rPr>
          <w:rFonts w:hint="eastAsia" w:ascii="黑体" w:hAnsi="黑体" w:eastAsia="黑体" w:cs="黑体"/>
          <w:b/>
          <w:sz w:val="28"/>
          <w:szCs w:val="28"/>
          <w:highlight w:val="none"/>
          <w:lang w:val="en-US" w:eastAsia="zh-CN"/>
        </w:rPr>
        <w:t xml:space="preserve">  </w:t>
      </w:r>
      <w:r>
        <w:rPr>
          <w:rFonts w:hint="eastAsia" w:ascii="黑体" w:hAnsi="黑体" w:eastAsia="黑体" w:cs="黑体"/>
          <w:b/>
          <w:sz w:val="28"/>
          <w:szCs w:val="28"/>
          <w:highlight w:val="none"/>
        </w:rPr>
        <w:t>KM1：监管并表关键审慎监管指标</w:t>
      </w:r>
    </w:p>
    <w:p>
      <w:pPr>
        <w:pStyle w:val="3"/>
        <w:keepNext/>
        <w:keepLines/>
        <w:pageBreakBefore w:val="0"/>
        <w:widowControl w:val="0"/>
        <w:kinsoku/>
        <w:wordWrap/>
        <w:overflowPunct/>
        <w:topLinePunct w:val="0"/>
        <w:autoSpaceDE/>
        <w:autoSpaceDN/>
        <w:bidi w:val="0"/>
        <w:adjustRightInd/>
        <w:snapToGrid/>
        <w:spacing w:before="0" w:after="0" w:line="240" w:lineRule="auto"/>
        <w:jc w:val="right"/>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单位：万元（百分比除外）</w:t>
      </w:r>
    </w:p>
    <w:bookmarkEnd w:id="2"/>
    <w:tbl>
      <w:tblPr>
        <w:tblStyle w:val="1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41"/>
        <w:gridCol w:w="1447"/>
        <w:gridCol w:w="1321"/>
        <w:gridCol w:w="1321"/>
        <w:gridCol w:w="1321"/>
        <w:gridCol w:w="1324"/>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54" w:hRule="atLeast"/>
          <w:tblHeader/>
          <w:jc w:val="center"/>
        </w:trPr>
        <w:tc>
          <w:tcPr>
            <w:tcW w:w="1096" w:type="pct"/>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项目</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a</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b</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c</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d</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54" w:hRule="atLeast"/>
          <w:tblHeader/>
          <w:jc w:val="center"/>
        </w:trPr>
        <w:tc>
          <w:tcPr>
            <w:tcW w:w="1096"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时间</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2025年12月31日</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2025年9月30日</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2025年6月30日</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2025年3月31日</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2024年12月31日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可用资本（数额）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核心一级资本净额</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 xml:space="preserve">125,728.83 </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126,920.99</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126,529.72</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126,760.74</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124,705.53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一级资本净额</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 xml:space="preserve">125,728.83 </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126,920.99</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126,529.72</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126,760.74</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124,705.53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3</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资本净额</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 xml:space="preserve">137,849.11 </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141,206.55</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139,895.13</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135,699.64</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133,190.10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风险加权资产（数额）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4</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风险加权资产</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 xml:space="preserve"> 1,048,844.65 </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1,219,146.68</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1,144,614.55</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786,067.24</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749,266.43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资本充足率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5</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160" w:rightChars="-50"/>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核心一级资本充足率(%)</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11.99%</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10.41%</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11.05%</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16.13%</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16.64%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6</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一级资本充足率（%）</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11.99%</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10.41%</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11.05%</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16.13%</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16.64%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7</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资本充足率（%）</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13.14%</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11.58%</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12.22%</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17.26%</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其他各级资本要求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8</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储备资本要求（%）</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9</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逆周期资本要求（%）</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10</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全球系统重要性银行或国内系统重要性银行附加资本要求（%）</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其他各级资本要求（%）（8+9+10）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满足最低资本要求后的可用核心一级资本净额占风险加权资产的比例（%）</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val="en-US" w:eastAsia="zh-CN"/>
              </w:rPr>
              <w:t>5.14%</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sz w:val="15"/>
                <w:szCs w:val="15"/>
                <w:u w:val="none"/>
                <w:lang w:val="en-US" w:eastAsia="zh-CN"/>
              </w:rPr>
              <w:t>3.58%</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4.22%</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9.26%</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杠杆率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13</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调整后表内外资产余额</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 xml:space="preserve"> 1,477,997.06 </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1,527,350.97</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1,435,738.86</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993,943.52</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971,623.97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14</w:t>
            </w:r>
          </w:p>
        </w:tc>
        <w:tc>
          <w:tcPr>
            <w:tcW w:w="852"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杠杆率（%）</w:t>
            </w:r>
          </w:p>
        </w:tc>
        <w:tc>
          <w:tcPr>
            <w:tcW w:w="779"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8.56%</w:t>
            </w:r>
          </w:p>
        </w:tc>
        <w:tc>
          <w:tcPr>
            <w:tcW w:w="779"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8.31%</w:t>
            </w:r>
          </w:p>
        </w:tc>
        <w:tc>
          <w:tcPr>
            <w:tcW w:w="779"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8.81%</w:t>
            </w:r>
          </w:p>
        </w:tc>
        <w:tc>
          <w:tcPr>
            <w:tcW w:w="780"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12.75%</w:t>
            </w:r>
          </w:p>
        </w:tc>
        <w:tc>
          <w:tcPr>
            <w:tcW w:w="785" w:type="pct"/>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14a</w:t>
            </w:r>
          </w:p>
        </w:tc>
        <w:tc>
          <w:tcPr>
            <w:tcW w:w="852"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杠杆率a（%）</w:t>
            </w:r>
          </w:p>
        </w:tc>
        <w:tc>
          <w:tcPr>
            <w:tcW w:w="779"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8.56%</w:t>
            </w:r>
          </w:p>
        </w:tc>
        <w:tc>
          <w:tcPr>
            <w:tcW w:w="779"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8.31%</w:t>
            </w:r>
          </w:p>
        </w:tc>
        <w:tc>
          <w:tcPr>
            <w:tcW w:w="779"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8.81%</w:t>
            </w:r>
          </w:p>
        </w:tc>
        <w:tc>
          <w:tcPr>
            <w:tcW w:w="780"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12.75%</w:t>
            </w:r>
          </w:p>
        </w:tc>
        <w:tc>
          <w:tcPr>
            <w:tcW w:w="785" w:type="pct"/>
            <w:tcBorders>
              <w:top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流动性覆盖率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15</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160" w:rightChars="-5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合格优质流动性资产</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16</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现金净流出量</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17</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流动性覆盖率（%）</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净稳定资金比例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18</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可用稳定资金合计</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19</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所需稳定资金合计</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20</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净稳定资金比例（%）</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7"/>
            <w:tcBorders>
              <w:tl2br w:val="nil"/>
              <w:tr2bl w:val="nil"/>
            </w:tcBorders>
            <w:shd w:val="clear" w:color="auto" w:fill="D8D8D8"/>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sz w:val="15"/>
                <w:szCs w:val="15"/>
                <w:u w:val="none"/>
              </w:rPr>
            </w:pPr>
            <w:r>
              <w:rPr>
                <w:rFonts w:hint="eastAsia" w:ascii="黑体" w:hAnsi="黑体" w:eastAsia="黑体" w:cs="黑体"/>
                <w:b/>
                <w:bCs/>
                <w:i w:val="0"/>
                <w:iCs w:val="0"/>
                <w:color w:val="000000"/>
                <w:kern w:val="0"/>
                <w:sz w:val="15"/>
                <w:szCs w:val="15"/>
                <w:u w:val="none"/>
                <w:lang w:val="en-US" w:eastAsia="zh-CN" w:bidi="ar"/>
              </w:rPr>
              <w:t>流动性比例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21</w:t>
            </w:r>
          </w:p>
        </w:tc>
        <w:tc>
          <w:tcPr>
            <w:tcW w:w="8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5"/>
                <w:szCs w:val="15"/>
                <w:u w:val="none"/>
              </w:rPr>
            </w:pPr>
            <w:r>
              <w:rPr>
                <w:rStyle w:val="24"/>
                <w:rFonts w:hint="eastAsia" w:ascii="黑体" w:hAnsi="黑体" w:eastAsia="黑体" w:cs="黑体"/>
                <w:sz w:val="15"/>
                <w:szCs w:val="15"/>
                <w:lang w:val="en-US" w:eastAsia="zh-CN" w:bidi="ar"/>
              </w:rPr>
              <w:t>流动性比例（%）</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2979.52%</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1168.00%</w:t>
            </w:r>
          </w:p>
        </w:tc>
        <w:tc>
          <w:tcPr>
            <w:tcW w:w="77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127.66%</w:t>
            </w:r>
          </w:p>
        </w:tc>
        <w:tc>
          <w:tcPr>
            <w:tcW w:w="7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380.69%</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7349.57%</w:t>
            </w:r>
          </w:p>
        </w:tc>
      </w:tr>
    </w:tbl>
    <w:p>
      <w:pPr>
        <w:snapToGrid w:val="0"/>
        <w:spacing w:line="360" w:lineRule="auto"/>
        <w:jc w:val="both"/>
        <w:rPr>
          <w:rFonts w:hint="eastAsia" w:ascii="黑体" w:hAnsi="黑体" w:eastAsia="黑体" w:cs="黑体"/>
          <w:b/>
          <w:sz w:val="21"/>
          <w:szCs w:val="21"/>
          <w:highlight w:val="none"/>
        </w:rPr>
      </w:pPr>
    </w:p>
    <w:p>
      <w:pPr>
        <w:snapToGrid w:val="0"/>
        <w:spacing w:line="360" w:lineRule="auto"/>
        <w:jc w:val="both"/>
        <w:rPr>
          <w:rFonts w:hint="eastAsia" w:ascii="黑体" w:hAnsi="黑体" w:eastAsia="黑体" w:cs="黑体"/>
          <w:b/>
          <w:sz w:val="21"/>
          <w:szCs w:val="21"/>
          <w:highlight w:val="none"/>
        </w:rPr>
      </w:pPr>
    </w:p>
    <w:p>
      <w:pPr>
        <w:keepNext w:val="0"/>
        <w:keepLines w:val="0"/>
        <w:pageBreakBefore/>
        <w:widowControl w:val="0"/>
        <w:kinsoku/>
        <w:wordWrap/>
        <w:overflowPunct/>
        <w:topLinePunct w:val="0"/>
        <w:autoSpaceDE/>
        <w:autoSpaceDN/>
        <w:bidi w:val="0"/>
        <w:adjustRightInd/>
        <w:snapToGrid/>
        <w:spacing w:line="240" w:lineRule="atLeast"/>
        <w:ind w:firstLine="556"/>
        <w:textAlignment w:val="auto"/>
        <w:outlineLvl w:val="0"/>
        <w:rPr>
          <w:rFonts w:hint="eastAsia" w:ascii="黑体" w:hAnsi="黑体" w:eastAsia="黑体" w:cs="黑体"/>
          <w:b/>
          <w:sz w:val="28"/>
          <w:szCs w:val="28"/>
          <w:highlight w:val="none"/>
        </w:rPr>
      </w:pPr>
      <w:r>
        <w:rPr>
          <w:rFonts w:hint="eastAsia" w:ascii="黑体" w:hAnsi="黑体" w:eastAsia="黑体" w:cs="黑体"/>
          <w:bCs/>
          <w:sz w:val="32"/>
          <w:szCs w:val="32"/>
          <w:lang w:val="en-US" w:eastAsia="zh-CN"/>
        </w:rPr>
        <w:t>二、资本构成</w:t>
      </w:r>
    </w:p>
    <w:p>
      <w:pPr>
        <w:keepNext w:val="0"/>
        <w:keepLines w:val="0"/>
        <w:pageBreakBefore w:val="0"/>
        <w:widowControl w:val="0"/>
        <w:kinsoku/>
        <w:wordWrap/>
        <w:overflowPunct/>
        <w:topLinePunct w:val="0"/>
        <w:autoSpaceDE/>
        <w:autoSpaceDN/>
        <w:bidi w:val="0"/>
        <w:adjustRightInd/>
        <w:snapToGrid w:val="0"/>
        <w:spacing w:line="240" w:lineRule="atLeast"/>
        <w:ind w:left="0"/>
        <w:jc w:val="center"/>
        <w:textAlignment w:val="auto"/>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表</w:t>
      </w:r>
      <w:r>
        <w:rPr>
          <w:rFonts w:hint="eastAsia" w:ascii="黑体" w:hAnsi="黑体" w:eastAsia="黑体" w:cs="黑体"/>
          <w:b/>
          <w:sz w:val="28"/>
          <w:szCs w:val="28"/>
          <w:highlight w:val="none"/>
          <w:lang w:val="en-US" w:eastAsia="zh-CN"/>
        </w:rPr>
        <w:t>2  CC</w:t>
      </w:r>
      <w:r>
        <w:rPr>
          <w:rFonts w:hint="eastAsia" w:ascii="黑体" w:hAnsi="黑体" w:eastAsia="黑体" w:cs="黑体"/>
          <w:b/>
          <w:sz w:val="28"/>
          <w:szCs w:val="28"/>
          <w:highlight w:val="none"/>
        </w:rPr>
        <w:t>1：</w:t>
      </w:r>
      <w:r>
        <w:rPr>
          <w:rFonts w:hint="eastAsia" w:ascii="黑体" w:hAnsi="黑体" w:eastAsia="黑体" w:cs="黑体"/>
          <w:b/>
          <w:sz w:val="28"/>
          <w:szCs w:val="28"/>
          <w:highlight w:val="none"/>
          <w:lang w:eastAsia="zh-CN"/>
        </w:rPr>
        <w:t>资本构成</w:t>
      </w:r>
    </w:p>
    <w:p>
      <w:pPr>
        <w:pStyle w:val="3"/>
        <w:keepNext/>
        <w:keepLines/>
        <w:pageBreakBefore w:val="0"/>
        <w:widowControl w:val="0"/>
        <w:kinsoku/>
        <w:wordWrap/>
        <w:overflowPunct/>
        <w:topLinePunct w:val="0"/>
        <w:autoSpaceDE/>
        <w:autoSpaceDN/>
        <w:bidi w:val="0"/>
        <w:adjustRightInd/>
        <w:snapToGrid/>
        <w:spacing w:before="0" w:after="0" w:line="240" w:lineRule="auto"/>
        <w:jc w:val="right"/>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单位：万元（百分比除外）</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5061"/>
        <w:gridCol w:w="1515"/>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2" w:hRule="atLeast"/>
          <w:tblHeader/>
          <w:jc w:val="center"/>
        </w:trPr>
        <w:tc>
          <w:tcPr>
            <w:tcW w:w="5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项目</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a</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2" w:hRule="atLeast"/>
          <w:tblHeader/>
          <w:jc w:val="center"/>
        </w:trPr>
        <w:tc>
          <w:tcPr>
            <w:tcW w:w="5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b/>
                <w:bCs/>
                <w:i w:val="0"/>
                <w:iCs w:val="0"/>
                <w:color w:val="000000"/>
                <w:kern w:val="2"/>
                <w:sz w:val="18"/>
                <w:szCs w:val="18"/>
                <w:u w:val="none"/>
                <w:lang w:val="en-US" w:eastAsia="zh-CN" w:bidi="ar-SA"/>
              </w:rPr>
            </w:pPr>
            <w:r>
              <w:rPr>
                <w:rFonts w:hint="eastAsia" w:ascii="黑体" w:hAnsi="黑体" w:eastAsia="黑体" w:cs="黑体"/>
                <w:b/>
                <w:bCs/>
                <w:i w:val="0"/>
                <w:iCs w:val="0"/>
                <w:color w:val="000000"/>
                <w:kern w:val="0"/>
                <w:sz w:val="18"/>
                <w:szCs w:val="18"/>
                <w:u w:val="none"/>
                <w:lang w:val="en-US" w:eastAsia="zh-CN" w:bidi="ar"/>
              </w:rPr>
              <w:t>时间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sz w:val="16"/>
                <w:szCs w:val="16"/>
                <w:u w:val="none"/>
              </w:rPr>
            </w:pPr>
            <w:r>
              <w:rPr>
                <w:rFonts w:hint="eastAsia" w:ascii="黑体" w:hAnsi="黑体" w:eastAsia="黑体" w:cs="黑体"/>
                <w:b/>
                <w:bCs/>
                <w:i w:val="0"/>
                <w:iCs w:val="0"/>
                <w:color w:val="000000"/>
                <w:kern w:val="0"/>
                <w:sz w:val="16"/>
                <w:szCs w:val="16"/>
                <w:u w:val="none"/>
                <w:lang w:val="en-US" w:eastAsia="zh-CN" w:bidi="ar"/>
              </w:rPr>
              <w:t>2025年12月31日</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bCs/>
                <w:i w:val="0"/>
                <w:iCs w:val="0"/>
                <w:color w:val="000000"/>
                <w:kern w:val="0"/>
                <w:sz w:val="16"/>
                <w:szCs w:val="16"/>
                <w:u w:val="none"/>
                <w:lang w:val="en-US" w:eastAsia="zh-CN" w:bidi="ar"/>
              </w:rPr>
            </w:pPr>
            <w:r>
              <w:rPr>
                <w:rFonts w:hint="eastAsia" w:ascii="黑体" w:hAnsi="黑体" w:eastAsia="黑体" w:cs="黑体"/>
                <w:b/>
                <w:bCs/>
                <w:i w:val="0"/>
                <w:iCs w:val="0"/>
                <w:color w:val="000000"/>
                <w:kern w:val="0"/>
                <w:sz w:val="16"/>
                <w:szCs w:val="16"/>
                <w:u w:val="none"/>
                <w:lang w:val="en-US" w:eastAsia="zh-CN" w:bidi="ar"/>
              </w:rPr>
              <w:t>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实收资本和资本公积可计入部分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100,000.00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留存收益</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35,150.86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33,403.24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2a</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盈余公积</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3,769.39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3,769.39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2b</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一般风险准备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17,907.03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17,907.03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2c</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未分配利润</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13,474.43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11,726.81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累计其他综合收益</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少数股东资本可计入部分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扣除前的核心一级资本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135,150.86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133,403.24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核心一级资本：扣除项</w:t>
            </w:r>
            <w:r>
              <w:rPr>
                <w:rStyle w:val="22"/>
                <w:rFonts w:hint="eastAsia" w:ascii="黑体" w:hAnsi="黑体" w:eastAsia="黑体" w:cs="黑体"/>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审慎估值调整</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商誉（扣除递延税负债）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其他无形资产（土地使用权除外）（扣除递延税负债）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7,808.98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6,873.52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依赖未来盈利的由经营亏损引起的净递延税资产</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1,613.05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对未按公允价值计量的项目进行套期形成的现金流储备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损失准备缺口</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资产证券化销售利得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160" w:rightChars="-5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自身信用风险变化导致其负债公允价值变化带来的未实现损益</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确定受益类的养老金资产净额（扣除递延税负债）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直接或间接持有本银行的股票</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银行间或银行与其他金融机构间通过协议相互持有的核心一级资本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对未并表金融机构小额少数资本投资中的核心一级资本中应扣除金额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对未并表金融机构大额少数资本投资中的核心一级资本中应扣除金额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其他依赖于银行未来盈利的净递延税资产中应扣除金额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w:t>
            </w:r>
            <w:r>
              <w:rPr>
                <w:rStyle w:val="22"/>
                <w:rFonts w:hint="eastAsia" w:ascii="黑体" w:hAnsi="黑体" w:eastAsia="黑体" w:cs="黑体"/>
                <w:sz w:val="18"/>
                <w:szCs w:val="18"/>
                <w:lang w:val="en-US" w:eastAsia="zh-CN" w:bidi="ar"/>
              </w:rPr>
              <w:t>15%的应扣除金额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其中：应在对金融机构大额少数资本投资中扣除的金额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其中：应在其他依赖于银行未来盈利的净递延税资产中扣除的金额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其他应在核心一级资本中扣除的项目合计</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应从其他一级资本和二级资本中扣除的未扣缺口</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核心一级资本扣除项总和</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9,422.03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6,873.52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核心一级资本净额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125,728.83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126,529.72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其他一级资本工具及其溢价</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其中：权益部分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其中：负债部分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少数股东资本可计入部分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扣除前的其他一级资本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其他一级资本</w:t>
            </w:r>
            <w:r>
              <w:rPr>
                <w:rStyle w:val="23"/>
                <w:rFonts w:hint="eastAsia" w:ascii="黑体" w:hAnsi="黑体" w:eastAsia="黑体" w:cs="黑体"/>
                <w:sz w:val="18"/>
                <w:szCs w:val="18"/>
                <w:lang w:val="en-US" w:eastAsia="zh-CN" w:bidi="ar"/>
              </w:rPr>
              <w:t>:扣除项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直接或间接持有的本银行其他一级资本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银行间或银行与其他金融机构间通过协议相互持有的其他一级资本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对未并表金融机构小额少数资本投资中的其他一级资本中应扣除金额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对未并表金融机构大额少数资本投资中的其他一级资本中应扣除金额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其他应在其他一级资本中扣除的项目合计</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应从二级资本中扣除的未扣缺口</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其他一级资本扣除项总和</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其他一级资本净额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一级资本净额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125,728.83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126,529.72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二级资本工具及其溢价</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少数股东资本可计入部分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超额损失准备可计入部分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12,120.28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13,365.41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扣除前的二级资本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12,120.28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13,365.41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直接或间接持有的本银行的二级资本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银行间或银行与其他金融机构间通过协议相互持有的其他一级资本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对未并表金融机构小额少数资本投资中的二级资本中应扣除金额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对未并表金融机构大额少数资本投资中的二级资本</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49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其他应在二级资本中扣除的项目合计</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二级资本扣除项总和</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二级资本净额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12,120.28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13,365.41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总资本净额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137,849.11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139,895.13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风险加权资产</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1,048,844.65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1,144,614.55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核心一级资本充足率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11.99%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一级资本充足率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11.99%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13.14%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其他各级资本要求（</w:t>
            </w:r>
            <w:r>
              <w:rPr>
                <w:rStyle w:val="23"/>
                <w:rFonts w:hint="eastAsia" w:ascii="黑体" w:hAnsi="黑体" w:eastAsia="黑体" w:cs="黑体"/>
                <w:sz w:val="18"/>
                <w:szCs w:val="18"/>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2.50%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其中：储备资本要求</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2.50%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其中：逆周期资本要求</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60</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Style w:val="22"/>
                <w:rFonts w:hint="eastAsia" w:ascii="黑体" w:hAnsi="黑体" w:eastAsia="黑体" w:cs="黑体"/>
                <w:sz w:val="18"/>
                <w:szCs w:val="18"/>
                <w:lang w:val="en-US" w:eastAsia="zh-CN" w:bidi="ar"/>
              </w:rPr>
              <w:t>其中：全球系统重要性银行或国内系统重要性银行附加资本要求</w:t>
            </w:r>
          </w:p>
        </w:tc>
        <w:tc>
          <w:tcPr>
            <w:tcW w:w="1540"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val="0"/>
                <w:iCs w:val="0"/>
                <w:color w:val="000000"/>
                <w:sz w:val="18"/>
                <w:szCs w:val="18"/>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61</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满足最低资本要求后的可用核心一级资本净额占风险加权资产的比例</w:t>
            </w:r>
            <w:r>
              <w:rPr>
                <w:rStyle w:val="23"/>
                <w:rFonts w:hint="eastAsia" w:ascii="黑体" w:hAnsi="黑体" w:eastAsia="黑体" w:cs="黑体"/>
                <w:sz w:val="18"/>
                <w:szCs w:val="18"/>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5.14%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62</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核心一级资本充足率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63</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一级资本充足率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64</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资本充足率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8.00%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65</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对未并表金融机构的小额少数资本投资中未扣除部分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66</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对未并表金融机构的大额少数资本投资中未扣除部分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67</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其他依赖于银行未来盈利的净递延税资产（扣除递延税负债）</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12,734.19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8,675.72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9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黑体" w:hAnsi="黑体" w:eastAsia="黑体" w:cs="黑体"/>
                <w:b/>
                <w:bCs/>
                <w:i w:val="0"/>
                <w:iCs w:val="0"/>
                <w:color w:val="000000"/>
                <w:kern w:val="0"/>
                <w:sz w:val="18"/>
                <w:szCs w:val="18"/>
                <w:u w:val="none"/>
                <w:lang w:val="en-US" w:eastAsia="zh-CN" w:bidi="ar"/>
              </w:rPr>
            </w:pPr>
            <w:r>
              <w:rPr>
                <w:rFonts w:hint="eastAsia" w:ascii="黑体" w:hAnsi="黑体" w:eastAsia="黑体" w:cs="黑体"/>
                <w:b/>
                <w:bCs/>
                <w:i w:val="0"/>
                <w:iCs w:val="0"/>
                <w:color w:val="000000"/>
                <w:kern w:val="0"/>
                <w:sz w:val="18"/>
                <w:szCs w:val="18"/>
                <w:u w:val="none"/>
                <w:lang w:val="en-US" w:eastAsia="zh-CN" w:bidi="ar"/>
              </w:rPr>
              <w:t>可计入二级资本的超额损失准备的限额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68</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权重法下，实际计提的超额损失准备金额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kern w:val="0"/>
                <w:sz w:val="18"/>
                <w:szCs w:val="18"/>
                <w:u w:val="none"/>
                <w:lang w:val="en-US" w:eastAsia="zh-CN" w:bidi="ar"/>
              </w:rPr>
              <w:t>25,077.96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29,976.13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69</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权重法下，可计入二级资本超额损失准备的数额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12,120.28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13,365.41</w:t>
            </w:r>
          </w:p>
        </w:tc>
      </w:tr>
    </w:tbl>
    <w:p>
      <w:pPr>
        <w:rPr>
          <w:rFonts w:hint="eastAsia" w:ascii="黑体" w:hAnsi="黑体" w:eastAsia="黑体" w:cs="黑体"/>
        </w:rPr>
      </w:pPr>
    </w:p>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YInterstate Light">
    <w:altName w:val="Segoe Print"/>
    <w:panose1 w:val="00000000000000000000"/>
    <w:charset w:val="00"/>
    <w:family w:val="auto"/>
    <w:pitch w:val="default"/>
    <w:sig w:usb0="00000000" w:usb1="00000000"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57"/>
        <w:tab w:val="right" w:pos="8306"/>
      </w:tabs>
      <w:snapToGrid w:val="0"/>
      <w:jc w:val="both"/>
      <w:rPr>
        <w:rFonts w:ascii="Calibri" w:hAnsi="Calibri" w:eastAsia="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spacing w:line="240" w:lineRule="auto"/>
                            <w:textAlignment w:val="auto"/>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spacing w:line="240" w:lineRule="auto"/>
                      <w:textAlignment w:val="auto"/>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28"/>
    <w:rsid w:val="000F1B85"/>
    <w:rsid w:val="006B69B3"/>
    <w:rsid w:val="008F38BA"/>
    <w:rsid w:val="00930BF9"/>
    <w:rsid w:val="00E37486"/>
    <w:rsid w:val="00F01061"/>
    <w:rsid w:val="00F801AC"/>
    <w:rsid w:val="01DD768A"/>
    <w:rsid w:val="01F2753D"/>
    <w:rsid w:val="024768F0"/>
    <w:rsid w:val="034F7A08"/>
    <w:rsid w:val="04513BA5"/>
    <w:rsid w:val="052267EA"/>
    <w:rsid w:val="059E72F2"/>
    <w:rsid w:val="063B5063"/>
    <w:rsid w:val="0643490F"/>
    <w:rsid w:val="07F40047"/>
    <w:rsid w:val="08294541"/>
    <w:rsid w:val="0B386F97"/>
    <w:rsid w:val="0D172CE2"/>
    <w:rsid w:val="0D9848DC"/>
    <w:rsid w:val="0EE67E9C"/>
    <w:rsid w:val="0F357E9E"/>
    <w:rsid w:val="10910166"/>
    <w:rsid w:val="10CC699D"/>
    <w:rsid w:val="11033C90"/>
    <w:rsid w:val="11E31C48"/>
    <w:rsid w:val="137C539F"/>
    <w:rsid w:val="18C865AC"/>
    <w:rsid w:val="1AAD00EF"/>
    <w:rsid w:val="1EBC0416"/>
    <w:rsid w:val="1F177D0F"/>
    <w:rsid w:val="233A2037"/>
    <w:rsid w:val="25590322"/>
    <w:rsid w:val="25B4291C"/>
    <w:rsid w:val="286D0937"/>
    <w:rsid w:val="28C325D2"/>
    <w:rsid w:val="2A77466A"/>
    <w:rsid w:val="2B721945"/>
    <w:rsid w:val="2BC27E24"/>
    <w:rsid w:val="2C7A6C7D"/>
    <w:rsid w:val="2DB90AF9"/>
    <w:rsid w:val="2DDF19D2"/>
    <w:rsid w:val="302B09F2"/>
    <w:rsid w:val="309C68F5"/>
    <w:rsid w:val="30E10A56"/>
    <w:rsid w:val="31066CA8"/>
    <w:rsid w:val="32AB3874"/>
    <w:rsid w:val="32FC4557"/>
    <w:rsid w:val="32FE175E"/>
    <w:rsid w:val="332A0CF0"/>
    <w:rsid w:val="350C6980"/>
    <w:rsid w:val="351160A3"/>
    <w:rsid w:val="356F058B"/>
    <w:rsid w:val="363C6B05"/>
    <w:rsid w:val="373D712B"/>
    <w:rsid w:val="37607F59"/>
    <w:rsid w:val="37F21D1B"/>
    <w:rsid w:val="381B27FE"/>
    <w:rsid w:val="3821733D"/>
    <w:rsid w:val="39732C58"/>
    <w:rsid w:val="3A4608C5"/>
    <w:rsid w:val="3B96353D"/>
    <w:rsid w:val="3BB210C9"/>
    <w:rsid w:val="3C3F0D49"/>
    <w:rsid w:val="3D9D71DC"/>
    <w:rsid w:val="3DB878BC"/>
    <w:rsid w:val="3EBD1A76"/>
    <w:rsid w:val="3F16152A"/>
    <w:rsid w:val="3FAC0FF1"/>
    <w:rsid w:val="40ED3437"/>
    <w:rsid w:val="420B7093"/>
    <w:rsid w:val="422441FA"/>
    <w:rsid w:val="42C648D3"/>
    <w:rsid w:val="44092746"/>
    <w:rsid w:val="488A3088"/>
    <w:rsid w:val="48D95E07"/>
    <w:rsid w:val="495010D7"/>
    <w:rsid w:val="4A4E42C0"/>
    <w:rsid w:val="4C443761"/>
    <w:rsid w:val="4CC450B6"/>
    <w:rsid w:val="4CE444B6"/>
    <w:rsid w:val="4DB13536"/>
    <w:rsid w:val="4E433772"/>
    <w:rsid w:val="4E9713D9"/>
    <w:rsid w:val="502A5F19"/>
    <w:rsid w:val="527A02DF"/>
    <w:rsid w:val="5480192E"/>
    <w:rsid w:val="549B386B"/>
    <w:rsid w:val="56076A84"/>
    <w:rsid w:val="570375C9"/>
    <w:rsid w:val="575678CC"/>
    <w:rsid w:val="58BA7650"/>
    <w:rsid w:val="58FE57CE"/>
    <w:rsid w:val="593D12DB"/>
    <w:rsid w:val="5A566FEC"/>
    <w:rsid w:val="5AA32ECB"/>
    <w:rsid w:val="5B3D2303"/>
    <w:rsid w:val="5C10193D"/>
    <w:rsid w:val="5C5C5F3F"/>
    <w:rsid w:val="5CBC7A30"/>
    <w:rsid w:val="5CD30829"/>
    <w:rsid w:val="5D4D24C3"/>
    <w:rsid w:val="5DAD533E"/>
    <w:rsid w:val="5F366EF9"/>
    <w:rsid w:val="5FA86DEE"/>
    <w:rsid w:val="61C77098"/>
    <w:rsid w:val="63D11BA5"/>
    <w:rsid w:val="64996CCF"/>
    <w:rsid w:val="66E36BDD"/>
    <w:rsid w:val="6BB10653"/>
    <w:rsid w:val="6BCE176C"/>
    <w:rsid w:val="702951B3"/>
    <w:rsid w:val="707B0109"/>
    <w:rsid w:val="71602412"/>
    <w:rsid w:val="739A5C64"/>
    <w:rsid w:val="749C18DF"/>
    <w:rsid w:val="751D1FC3"/>
    <w:rsid w:val="7536625B"/>
    <w:rsid w:val="755225E1"/>
    <w:rsid w:val="78A22678"/>
    <w:rsid w:val="795F5318"/>
    <w:rsid w:val="796A69DC"/>
    <w:rsid w:val="79920715"/>
    <w:rsid w:val="79941BA4"/>
    <w:rsid w:val="79D722EB"/>
    <w:rsid w:val="7AC544ED"/>
    <w:rsid w:val="7B3D42B2"/>
    <w:rsid w:val="7B751FAF"/>
    <w:rsid w:val="7CC40E86"/>
    <w:rsid w:val="7DF707C6"/>
    <w:rsid w:val="7ED14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line="240" w:lineRule="auto"/>
      <w:jc w:val="center"/>
      <w:outlineLvl w:val="0"/>
    </w:pPr>
    <w:rPr>
      <w:rFonts w:eastAsia="宋体"/>
      <w:b/>
      <w:kern w:val="44"/>
      <w:sz w:val="44"/>
    </w:rPr>
  </w:style>
  <w:style w:type="paragraph" w:styleId="3">
    <w:name w:val="heading 2"/>
    <w:basedOn w:val="1"/>
    <w:next w:val="1"/>
    <w:qFormat/>
    <w:uiPriority w:val="9"/>
    <w:pPr>
      <w:keepNext/>
      <w:keepLines/>
      <w:spacing w:before="120" w:after="120" w:line="360" w:lineRule="auto"/>
      <w:outlineLvl w:val="1"/>
    </w:pPr>
    <w:rPr>
      <w:rFonts w:ascii="Cambria" w:hAnsi="Cambria" w:eastAsia="宋体"/>
      <w:b/>
      <w:bCs/>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next w:val="6"/>
    <w:qFormat/>
    <w:uiPriority w:val="0"/>
    <w:pPr>
      <w:widowControl w:val="0"/>
      <w:spacing w:after="120" w:line="600" w:lineRule="exact"/>
      <w:jc w:val="both"/>
    </w:pPr>
    <w:rPr>
      <w:rFonts w:ascii="Times New Roman" w:hAnsi="Times New Roman" w:eastAsia="仿宋" w:cs="Times New Roman"/>
      <w:kern w:val="2"/>
      <w:sz w:val="32"/>
      <w:szCs w:val="24"/>
      <w:lang w:val="en-US" w:eastAsia="zh-CN" w:bidi="ar-SA"/>
    </w:rPr>
  </w:style>
  <w:style w:type="paragraph" w:styleId="6">
    <w:name w:val="Body Text First Indent"/>
    <w:qFormat/>
    <w:uiPriority w:val="0"/>
    <w:pPr>
      <w:widowControl w:val="0"/>
      <w:spacing w:after="120" w:line="520" w:lineRule="exact"/>
      <w:ind w:firstLine="400" w:firstLineChars="200"/>
      <w:jc w:val="both"/>
    </w:pPr>
    <w:rPr>
      <w:rFonts w:ascii="Times New Roman" w:hAnsi="Times New Roman" w:eastAsia="仿宋" w:cs="Times New Roman"/>
      <w:kern w:val="2"/>
      <w:sz w:val="32"/>
      <w:szCs w:val="24"/>
      <w:lang w:val="en-US" w:eastAsia="zh-CN" w:bidi="ar-SA"/>
    </w:rPr>
  </w:style>
  <w:style w:type="paragraph" w:styleId="7">
    <w:name w:val="Balloon Text"/>
    <w:basedOn w:val="1"/>
    <w:link w:val="16"/>
    <w:qFormat/>
    <w:uiPriority w:val="0"/>
    <w:pPr>
      <w:spacing w:line="240" w:lineRule="auto"/>
    </w:pPr>
    <w:rPr>
      <w:sz w:val="18"/>
      <w:szCs w:val="18"/>
    </w:rPr>
  </w:style>
  <w:style w:type="paragraph" w:styleId="8">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unhideWhenUsed/>
    <w:qFormat/>
    <w:uiPriority w:val="99"/>
    <w:pPr>
      <w:snapToGrid w:val="0"/>
      <w:spacing w:line="240" w:lineRule="auto"/>
      <w:jc w:val="left"/>
    </w:pPr>
    <w:rPr>
      <w:rFonts w:eastAsia="宋体"/>
      <w:kern w:val="0"/>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footnote reference"/>
    <w:basedOn w:val="14"/>
    <w:unhideWhenUsed/>
    <w:qFormat/>
    <w:uiPriority w:val="99"/>
    <w:rPr>
      <w:rFonts w:ascii="Times New Roman" w:hAnsi="Times New Roman" w:eastAsia="宋体"/>
      <w:sz w:val="20"/>
      <w:vertAlign w:val="superscript"/>
    </w:rPr>
  </w:style>
  <w:style w:type="character" w:customStyle="1" w:styleId="16">
    <w:name w:val="批注框文本 Char"/>
    <w:basedOn w:val="14"/>
    <w:link w:val="7"/>
    <w:qFormat/>
    <w:uiPriority w:val="0"/>
    <w:rPr>
      <w:rFonts w:eastAsia="仿宋"/>
      <w:kern w:val="2"/>
      <w:sz w:val="18"/>
      <w:szCs w:val="18"/>
    </w:rPr>
  </w:style>
  <w:style w:type="character" w:customStyle="1" w:styleId="17">
    <w:name w:val="页眉 Char"/>
    <w:basedOn w:val="14"/>
    <w:link w:val="9"/>
    <w:qFormat/>
    <w:uiPriority w:val="0"/>
    <w:rPr>
      <w:rFonts w:eastAsia="仿宋"/>
      <w:kern w:val="2"/>
      <w:sz w:val="18"/>
      <w:szCs w:val="18"/>
    </w:rPr>
  </w:style>
  <w:style w:type="character" w:customStyle="1" w:styleId="18">
    <w:name w:val="页脚 Char"/>
    <w:basedOn w:val="14"/>
    <w:link w:val="8"/>
    <w:qFormat/>
    <w:uiPriority w:val="0"/>
    <w:rPr>
      <w:rFonts w:eastAsia="仿宋"/>
      <w:kern w:val="2"/>
      <w:sz w:val="18"/>
      <w:szCs w:val="18"/>
    </w:rPr>
  </w:style>
  <w:style w:type="paragraph" w:styleId="19">
    <w:name w:val="List Paragraph"/>
    <w:basedOn w:val="1"/>
    <w:qFormat/>
    <w:uiPriority w:val="99"/>
    <w:pPr>
      <w:ind w:firstLine="420" w:firstLineChars="200"/>
    </w:pPr>
  </w:style>
  <w:style w:type="paragraph" w:customStyle="1" w:styleId="20">
    <w:name w:val="EY Normal"/>
    <w:qFormat/>
    <w:uiPriority w:val="0"/>
    <w:rPr>
      <w:rFonts w:ascii="EYInterstate Light" w:hAnsi="EYInterstate Light" w:eastAsia="宋体" w:cs="Times New Roman"/>
      <w:kern w:val="12"/>
      <w:szCs w:val="24"/>
      <w:lang w:val="en-US" w:eastAsia="en-US" w:bidi="ar-SA"/>
    </w:rPr>
  </w:style>
  <w:style w:type="paragraph" w:customStyle="1" w:styleId="21">
    <w:name w:val="列表段落1"/>
    <w:basedOn w:val="1"/>
    <w:qFormat/>
    <w:uiPriority w:val="34"/>
    <w:pPr>
      <w:ind w:firstLine="420" w:firstLineChars="200"/>
    </w:pPr>
  </w:style>
  <w:style w:type="character" w:customStyle="1" w:styleId="22">
    <w:name w:val="font21"/>
    <w:basedOn w:val="14"/>
    <w:qFormat/>
    <w:uiPriority w:val="0"/>
    <w:rPr>
      <w:rFonts w:hint="eastAsia" w:ascii="仿宋_GB2312" w:eastAsia="仿宋_GB2312" w:cs="仿宋_GB2312"/>
      <w:color w:val="000000"/>
      <w:sz w:val="28"/>
      <w:szCs w:val="28"/>
      <w:u w:val="none"/>
    </w:rPr>
  </w:style>
  <w:style w:type="character" w:customStyle="1" w:styleId="23">
    <w:name w:val="font31"/>
    <w:basedOn w:val="14"/>
    <w:qFormat/>
    <w:uiPriority w:val="0"/>
    <w:rPr>
      <w:rFonts w:hint="eastAsia" w:ascii="仿宋_GB2312" w:eastAsia="仿宋_GB2312" w:cs="仿宋_GB2312"/>
      <w:b/>
      <w:bCs/>
      <w:color w:val="000000"/>
      <w:sz w:val="28"/>
      <w:szCs w:val="28"/>
      <w:u w:val="none"/>
    </w:rPr>
  </w:style>
  <w:style w:type="character" w:customStyle="1" w:styleId="24">
    <w:name w:val="font01"/>
    <w:basedOn w:val="1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1540</Words>
  <Characters>8780</Characters>
  <Lines>73</Lines>
  <Paragraphs>20</Paragraphs>
  <TotalTime>187</TotalTime>
  <ScaleCrop>false</ScaleCrop>
  <LinksUpToDate>false</LinksUpToDate>
  <CharactersWithSpaces>10300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2022-04-24T07:49:00Z</dcterms:created>
  <dc:creator>郭丹婕</dc:creator>
  <cp:lastModifiedBy>郭丹婕</cp:lastModifiedBy>
  <cp:lastPrinted>2025-08-25T06:55:00Z</cp:lastPrinted>
  <dcterms:modified xsi:type="dcterms:W3CDTF">2026-02-11T02:52:25Z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889F580A3C754D7B9DF64A95F32CB037</vt:lpwstr>
  </property>
</Properties>
</file>