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pacing w:line="360" w:lineRule="auto"/>
        <w:jc w:val="center"/>
        <w:textAlignment w:val="auto"/>
        <w:outlineLvl w:val="0"/>
        <w:rPr>
          <w:rFonts w:hint="eastAsia" w:ascii="宋体" w:hAnsi="宋体" w:eastAsia="宋体" w:cs="宋体"/>
          <w:b/>
          <w:bCs/>
          <w:sz w:val="44"/>
          <w:szCs w:val="44"/>
        </w:rPr>
      </w:pPr>
      <w:bookmarkStart w:id="0" w:name="_Toc18483"/>
      <w:r>
        <w:rPr>
          <w:rFonts w:hint="eastAsia" w:ascii="宋体" w:hAnsi="宋体" w:eastAsia="宋体" w:cs="宋体"/>
          <w:b/>
          <w:bCs/>
          <w:sz w:val="44"/>
          <w:szCs w:val="44"/>
        </w:rPr>
        <w:t>北京阳</w:t>
      </w:r>
      <w:bookmarkStart w:id="2" w:name="_GoBack"/>
      <w:bookmarkEnd w:id="2"/>
      <w:r>
        <w:rPr>
          <w:rFonts w:hint="eastAsia" w:ascii="宋体" w:hAnsi="宋体" w:eastAsia="宋体" w:cs="宋体"/>
          <w:b/>
          <w:bCs/>
          <w:sz w:val="44"/>
          <w:szCs w:val="44"/>
        </w:rPr>
        <w:t>光消费金融股份有限公司</w:t>
      </w:r>
      <w:bookmarkEnd w:id="0"/>
    </w:p>
    <w:p>
      <w:pPr>
        <w:pageBreakBefore w:val="0"/>
        <w:widowControl w:val="0"/>
        <w:kinsoku/>
        <w:wordWrap/>
        <w:overflowPunct/>
        <w:topLinePunct w:val="0"/>
        <w:autoSpaceDE/>
        <w:autoSpaceDN/>
        <w:bidi w:val="0"/>
        <w:adjustRightInd/>
        <w:spacing w:line="360" w:lineRule="auto"/>
        <w:jc w:val="center"/>
        <w:textAlignment w:val="auto"/>
        <w:outlineLvl w:val="0"/>
        <w:rPr>
          <w:rFonts w:hint="eastAsia" w:ascii="宋体" w:hAnsi="宋体" w:eastAsia="宋体" w:cs="宋体"/>
          <w:b/>
          <w:bCs/>
          <w:sz w:val="44"/>
          <w:szCs w:val="44"/>
          <w:lang w:val="en-US" w:eastAsia="zh-CN"/>
        </w:rPr>
      </w:pPr>
      <w:r>
        <w:rPr>
          <w:rFonts w:hint="eastAsia" w:ascii="宋体" w:hAnsi="宋体" w:eastAsia="宋体" w:cs="宋体"/>
          <w:b/>
          <w:bCs/>
          <w:sz w:val="44"/>
          <w:szCs w:val="44"/>
          <w:highlight w:val="none"/>
          <w:lang w:val="en-US" w:eastAsia="zh-CN"/>
        </w:rPr>
        <w:t>2025年第三季度</w:t>
      </w:r>
      <w:r>
        <w:rPr>
          <w:rFonts w:hint="eastAsia" w:ascii="宋体" w:hAnsi="宋体" w:eastAsia="宋体" w:cs="宋体"/>
          <w:b/>
          <w:bCs/>
          <w:sz w:val="44"/>
          <w:szCs w:val="44"/>
        </w:rPr>
        <w:t>第三支柱信息披露</w:t>
      </w:r>
      <w:r>
        <w:rPr>
          <w:rFonts w:hint="eastAsia" w:ascii="宋体" w:hAnsi="宋体" w:eastAsia="宋体" w:cs="宋体"/>
          <w:b/>
          <w:bCs/>
          <w:sz w:val="44"/>
          <w:szCs w:val="44"/>
          <w:lang w:val="en-US" w:eastAsia="zh-CN"/>
        </w:rPr>
        <w:t>公告</w:t>
      </w:r>
    </w:p>
    <w:p>
      <w:pPr>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b/>
          <w:bCs/>
          <w:sz w:val="44"/>
          <w:szCs w:val="44"/>
          <w:lang w:val="en-US" w:eastAsia="zh-CN"/>
        </w:rPr>
      </w:pPr>
    </w:p>
    <w:p>
      <w:pPr>
        <w:pageBreakBefore w:val="0"/>
        <w:widowControl w:val="0"/>
        <w:kinsoku/>
        <w:wordWrap/>
        <w:overflowPunct/>
        <w:topLinePunct w:val="0"/>
        <w:autoSpaceDE/>
        <w:autoSpaceDN/>
        <w:bidi w:val="0"/>
        <w:adjustRightInd/>
        <w:spacing w:line="360" w:lineRule="auto"/>
        <w:ind w:firstLine="555"/>
        <w:textAlignment w:val="auto"/>
        <w:rPr>
          <w:rFonts w:hint="eastAsia" w:ascii="黑体" w:hAnsi="黑体" w:eastAsia="黑体" w:cs="黑体"/>
          <w:szCs w:val="32"/>
          <w:lang w:val="en-US" w:eastAsia="zh-CN"/>
        </w:rPr>
      </w:pPr>
      <w:bookmarkStart w:id="1" w:name="_Toc96593508"/>
      <w:r>
        <w:rPr>
          <w:rFonts w:hint="eastAsia" w:ascii="黑体" w:hAnsi="黑体" w:eastAsia="黑体" w:cs="黑体"/>
          <w:szCs w:val="32"/>
        </w:rPr>
        <w:t>根据国家金融监督管理总局发布的《商业银行资本管理办法》（国家金融监督管理总局令2023年第4号）</w:t>
      </w:r>
      <w:r>
        <w:rPr>
          <w:rFonts w:hint="eastAsia" w:ascii="黑体" w:hAnsi="黑体" w:eastAsia="黑体" w:cs="黑体"/>
          <w:szCs w:val="32"/>
          <w:lang w:val="en-US" w:eastAsia="zh-CN"/>
        </w:rPr>
        <w:t>中关于第三支柱信息披露的要求，北京阳光消费金融股份有限公司现进行2025年第三季度第三支柱信息披露。</w:t>
      </w:r>
      <w:bookmarkEnd w:id="1"/>
    </w:p>
    <w:p>
      <w:pPr>
        <w:pageBreakBefore w:val="0"/>
        <w:widowControl w:val="0"/>
        <w:kinsoku/>
        <w:wordWrap/>
        <w:overflowPunct/>
        <w:topLinePunct w:val="0"/>
        <w:autoSpaceDE/>
        <w:autoSpaceDN/>
        <w:bidi w:val="0"/>
        <w:adjustRightInd/>
        <w:spacing w:line="360" w:lineRule="auto"/>
        <w:ind w:firstLine="555"/>
        <w:textAlignment w:val="auto"/>
        <w:rPr>
          <w:rFonts w:hint="eastAsia" w:ascii="黑体" w:hAnsi="黑体" w:eastAsia="黑体" w:cs="黑体"/>
          <w:szCs w:val="32"/>
          <w:lang w:val="en-US" w:eastAsia="zh-CN"/>
        </w:rPr>
      </w:pPr>
    </w:p>
    <w:p>
      <w:pPr>
        <w:snapToGrid w:val="0"/>
        <w:spacing w:line="360" w:lineRule="auto"/>
        <w:ind w:left="1"/>
        <w:jc w:val="center"/>
        <w:rPr>
          <w:rFonts w:hint="eastAsia" w:ascii="黑体" w:hAnsi="黑体" w:eastAsia="黑体" w:cs="黑体"/>
          <w:b/>
          <w:sz w:val="28"/>
          <w:szCs w:val="28"/>
          <w:highlight w:val="none"/>
          <w:lang w:val="en-US" w:eastAsia="zh-CN"/>
        </w:rPr>
      </w:pPr>
      <w:r>
        <w:rPr>
          <w:rFonts w:hint="eastAsia" w:ascii="黑体" w:hAnsi="黑体" w:eastAsia="黑体" w:cs="黑体"/>
          <w:b/>
          <w:sz w:val="28"/>
          <w:szCs w:val="28"/>
          <w:highlight w:val="none"/>
        </w:rPr>
        <w:t>表1</w:t>
      </w:r>
      <w:r>
        <w:rPr>
          <w:rFonts w:hint="eastAsia" w:ascii="黑体" w:hAnsi="黑体" w:eastAsia="黑体" w:cs="黑体"/>
          <w:b/>
          <w:sz w:val="28"/>
          <w:szCs w:val="28"/>
          <w:highlight w:val="none"/>
          <w:lang w:val="en-US" w:eastAsia="zh-CN"/>
        </w:rPr>
        <w:t xml:space="preserve">  </w:t>
      </w:r>
      <w:r>
        <w:rPr>
          <w:rFonts w:hint="eastAsia" w:ascii="黑体" w:hAnsi="黑体" w:eastAsia="黑体" w:cs="黑体"/>
          <w:b/>
          <w:sz w:val="28"/>
          <w:szCs w:val="28"/>
          <w:highlight w:val="none"/>
        </w:rPr>
        <w:t>KM1：监管并表关键审慎监管指标</w:t>
      </w:r>
    </w:p>
    <w:p>
      <w:pPr>
        <w:pStyle w:val="3"/>
        <w:jc w:val="right"/>
        <w:rPr>
          <w:rFonts w:hint="eastAsia" w:ascii="黑体" w:hAnsi="黑体" w:eastAsia="黑体" w:cs="黑体"/>
          <w:b w:val="0"/>
          <w:bCs w:val="0"/>
          <w:sz w:val="21"/>
          <w:szCs w:val="21"/>
          <w:highlight w:val="none"/>
          <w:lang w:val="en-US" w:eastAsia="zh-CN"/>
        </w:rPr>
      </w:pPr>
      <w:r>
        <w:rPr>
          <w:rFonts w:hint="eastAsia" w:ascii="黑体" w:hAnsi="黑体" w:eastAsia="黑体" w:cs="黑体"/>
          <w:b w:val="0"/>
          <w:bCs w:val="0"/>
          <w:sz w:val="21"/>
          <w:szCs w:val="21"/>
          <w:highlight w:val="none"/>
          <w:lang w:val="en-US" w:eastAsia="zh-CN"/>
        </w:rPr>
        <w:t>单位：万元（百分比除外）</w:t>
      </w:r>
    </w:p>
    <w:tbl>
      <w:tblPr>
        <w:tblStyle w:val="12"/>
        <w:tblW w:w="561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456"/>
        <w:gridCol w:w="1742"/>
        <w:gridCol w:w="1595"/>
        <w:gridCol w:w="1595"/>
        <w:gridCol w:w="1595"/>
        <w:gridCol w:w="1595"/>
        <w:gridCol w:w="15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454" w:hRule="atLeast"/>
          <w:tblHeader/>
          <w:jc w:val="center"/>
        </w:trPr>
        <w:tc>
          <w:tcPr>
            <w:tcW w:w="1080" w:type="pct"/>
            <w:gridSpan w:val="2"/>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项目</w:t>
            </w:r>
          </w:p>
        </w:tc>
        <w:tc>
          <w:tcPr>
            <w:tcW w:w="7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a</w:t>
            </w:r>
          </w:p>
        </w:tc>
        <w:tc>
          <w:tcPr>
            <w:tcW w:w="7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b</w:t>
            </w:r>
          </w:p>
        </w:tc>
        <w:tc>
          <w:tcPr>
            <w:tcW w:w="7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c</w:t>
            </w:r>
          </w:p>
        </w:tc>
        <w:tc>
          <w:tcPr>
            <w:tcW w:w="7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d</w:t>
            </w:r>
          </w:p>
        </w:tc>
        <w:tc>
          <w:tcPr>
            <w:tcW w:w="78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454" w:hRule="atLeast"/>
          <w:tblHeader/>
          <w:jc w:val="center"/>
        </w:trPr>
        <w:tc>
          <w:tcPr>
            <w:tcW w:w="1080"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时间</w:t>
            </w:r>
          </w:p>
        </w:tc>
        <w:tc>
          <w:tcPr>
            <w:tcW w:w="7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2025年9月30日</w:t>
            </w:r>
          </w:p>
        </w:tc>
        <w:tc>
          <w:tcPr>
            <w:tcW w:w="7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2025年6月30日</w:t>
            </w:r>
          </w:p>
        </w:tc>
        <w:tc>
          <w:tcPr>
            <w:tcW w:w="7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2025年3月31日</w:t>
            </w:r>
          </w:p>
        </w:tc>
        <w:tc>
          <w:tcPr>
            <w:tcW w:w="7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2024年12月31日</w:t>
            </w:r>
          </w:p>
        </w:tc>
        <w:tc>
          <w:tcPr>
            <w:tcW w:w="78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2024年9月30日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5000" w:type="pct"/>
            <w:gridSpan w:val="7"/>
            <w:tcBorders>
              <w:tl2br w:val="nil"/>
              <w:tr2bl w:val="nil"/>
            </w:tcBorders>
            <w:shd w:val="clear" w:color="auto" w:fill="D9D9D9"/>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可用资本（数额）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22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85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核心一级资本净额</w:t>
            </w:r>
          </w:p>
        </w:tc>
        <w:tc>
          <w:tcPr>
            <w:tcW w:w="7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126,920.99</w:t>
            </w:r>
          </w:p>
        </w:tc>
        <w:tc>
          <w:tcPr>
            <w:tcW w:w="7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126,529.72</w:t>
            </w:r>
          </w:p>
        </w:tc>
        <w:tc>
          <w:tcPr>
            <w:tcW w:w="7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126,760.74</w:t>
            </w:r>
          </w:p>
        </w:tc>
        <w:tc>
          <w:tcPr>
            <w:tcW w:w="7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124,705.53</w:t>
            </w:r>
          </w:p>
        </w:tc>
        <w:tc>
          <w:tcPr>
            <w:tcW w:w="78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126,658.13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22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85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一级资本净额</w:t>
            </w:r>
          </w:p>
        </w:tc>
        <w:tc>
          <w:tcPr>
            <w:tcW w:w="7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126,920.99</w:t>
            </w:r>
          </w:p>
        </w:tc>
        <w:tc>
          <w:tcPr>
            <w:tcW w:w="7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126,529.72</w:t>
            </w:r>
          </w:p>
        </w:tc>
        <w:tc>
          <w:tcPr>
            <w:tcW w:w="7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126,760.74</w:t>
            </w:r>
          </w:p>
        </w:tc>
        <w:tc>
          <w:tcPr>
            <w:tcW w:w="7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124,705.53</w:t>
            </w:r>
          </w:p>
        </w:tc>
        <w:tc>
          <w:tcPr>
            <w:tcW w:w="78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126,658.13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22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85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资本净额</w:t>
            </w:r>
          </w:p>
        </w:tc>
        <w:tc>
          <w:tcPr>
            <w:tcW w:w="7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141,206.55</w:t>
            </w:r>
          </w:p>
        </w:tc>
        <w:tc>
          <w:tcPr>
            <w:tcW w:w="7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139,895.13</w:t>
            </w:r>
          </w:p>
        </w:tc>
        <w:tc>
          <w:tcPr>
            <w:tcW w:w="7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135,699.64</w:t>
            </w:r>
          </w:p>
        </w:tc>
        <w:tc>
          <w:tcPr>
            <w:tcW w:w="7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133,190.10</w:t>
            </w:r>
          </w:p>
        </w:tc>
        <w:tc>
          <w:tcPr>
            <w:tcW w:w="78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136,041.25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000" w:type="pct"/>
            <w:gridSpan w:val="7"/>
            <w:tcBorders>
              <w:tl2br w:val="nil"/>
              <w:tr2bl w:val="nil"/>
            </w:tcBorders>
            <w:shd w:val="clear" w:color="auto" w:fill="D9D9D9"/>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风险加权资产（数额）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2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85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风险加权资产</w:t>
            </w:r>
          </w:p>
        </w:tc>
        <w:tc>
          <w:tcPr>
            <w:tcW w:w="7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1,219,146.68</w:t>
            </w:r>
          </w:p>
        </w:tc>
        <w:tc>
          <w:tcPr>
            <w:tcW w:w="7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1,144,614.55</w:t>
            </w:r>
          </w:p>
        </w:tc>
        <w:tc>
          <w:tcPr>
            <w:tcW w:w="7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786,067.24</w:t>
            </w:r>
          </w:p>
        </w:tc>
        <w:tc>
          <w:tcPr>
            <w:tcW w:w="7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749,266.43</w:t>
            </w:r>
          </w:p>
        </w:tc>
        <w:tc>
          <w:tcPr>
            <w:tcW w:w="78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837,734.45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000" w:type="pct"/>
            <w:gridSpan w:val="7"/>
            <w:tcBorders>
              <w:tl2br w:val="nil"/>
              <w:tr2bl w:val="nil"/>
            </w:tcBorders>
            <w:shd w:val="clear" w:color="auto" w:fill="D9D9D9"/>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资本充足率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22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85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right="-160" w:rightChars="-50"/>
              <w:jc w:val="left"/>
              <w:textAlignment w:val="center"/>
              <w:rPr>
                <w:rFonts w:hint="eastAsia" w:ascii="宋体" w:hAnsi="宋体" w:eastAsia="宋体" w:cs="宋体"/>
                <w:i w:val="0"/>
                <w:iCs w:val="0"/>
                <w:color w:val="000000"/>
                <w:sz w:val="15"/>
                <w:szCs w:val="15"/>
                <w:u w:val="none"/>
              </w:rPr>
            </w:pPr>
            <w:r>
              <w:rPr>
                <w:rStyle w:val="24"/>
                <w:rFonts w:hint="eastAsia" w:ascii="宋体" w:hAnsi="宋体" w:eastAsia="宋体" w:cs="宋体"/>
                <w:sz w:val="15"/>
                <w:szCs w:val="15"/>
                <w:lang w:val="en-US" w:eastAsia="zh-CN" w:bidi="ar"/>
              </w:rPr>
              <w:t>核心一级资本充足率(%)</w:t>
            </w:r>
          </w:p>
        </w:tc>
        <w:tc>
          <w:tcPr>
            <w:tcW w:w="7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10.41%</w:t>
            </w:r>
          </w:p>
        </w:tc>
        <w:tc>
          <w:tcPr>
            <w:tcW w:w="7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11.05%</w:t>
            </w:r>
          </w:p>
        </w:tc>
        <w:tc>
          <w:tcPr>
            <w:tcW w:w="7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16.13%</w:t>
            </w:r>
          </w:p>
        </w:tc>
        <w:tc>
          <w:tcPr>
            <w:tcW w:w="7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16.64%</w:t>
            </w:r>
          </w:p>
        </w:tc>
        <w:tc>
          <w:tcPr>
            <w:tcW w:w="78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22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85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5"/>
                <w:szCs w:val="15"/>
                <w:u w:val="none"/>
              </w:rPr>
            </w:pPr>
            <w:r>
              <w:rPr>
                <w:rStyle w:val="24"/>
                <w:rFonts w:hint="eastAsia" w:ascii="宋体" w:hAnsi="宋体" w:eastAsia="宋体" w:cs="宋体"/>
                <w:sz w:val="15"/>
                <w:szCs w:val="15"/>
                <w:lang w:val="en-US" w:eastAsia="zh-CN" w:bidi="ar"/>
              </w:rPr>
              <w:t>一级资本充足率（%）</w:t>
            </w:r>
          </w:p>
        </w:tc>
        <w:tc>
          <w:tcPr>
            <w:tcW w:w="7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10.41%</w:t>
            </w:r>
          </w:p>
        </w:tc>
        <w:tc>
          <w:tcPr>
            <w:tcW w:w="7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11.05%</w:t>
            </w:r>
          </w:p>
        </w:tc>
        <w:tc>
          <w:tcPr>
            <w:tcW w:w="7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16.13%</w:t>
            </w:r>
          </w:p>
        </w:tc>
        <w:tc>
          <w:tcPr>
            <w:tcW w:w="7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16.64%</w:t>
            </w:r>
          </w:p>
        </w:tc>
        <w:tc>
          <w:tcPr>
            <w:tcW w:w="78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22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w:t>
            </w:r>
          </w:p>
        </w:tc>
        <w:tc>
          <w:tcPr>
            <w:tcW w:w="85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5"/>
                <w:szCs w:val="15"/>
                <w:u w:val="none"/>
              </w:rPr>
            </w:pPr>
            <w:r>
              <w:rPr>
                <w:rStyle w:val="24"/>
                <w:rFonts w:hint="eastAsia" w:ascii="宋体" w:hAnsi="宋体" w:eastAsia="宋体" w:cs="宋体"/>
                <w:sz w:val="15"/>
                <w:szCs w:val="15"/>
                <w:lang w:val="en-US" w:eastAsia="zh-CN" w:bidi="ar"/>
              </w:rPr>
              <w:t>资本充足率（%）</w:t>
            </w:r>
          </w:p>
        </w:tc>
        <w:tc>
          <w:tcPr>
            <w:tcW w:w="7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11.58%</w:t>
            </w:r>
          </w:p>
        </w:tc>
        <w:tc>
          <w:tcPr>
            <w:tcW w:w="7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12.22%</w:t>
            </w:r>
          </w:p>
        </w:tc>
        <w:tc>
          <w:tcPr>
            <w:tcW w:w="7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17.26%</w:t>
            </w:r>
          </w:p>
        </w:tc>
        <w:tc>
          <w:tcPr>
            <w:tcW w:w="7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17.78%</w:t>
            </w:r>
          </w:p>
        </w:tc>
        <w:tc>
          <w:tcPr>
            <w:tcW w:w="78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5000" w:type="pct"/>
            <w:gridSpan w:val="7"/>
            <w:tcBorders>
              <w:tl2br w:val="nil"/>
              <w:tr2bl w:val="nil"/>
            </w:tcBorders>
            <w:shd w:val="clear" w:color="auto" w:fill="D9D9D9"/>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其他各级资本要求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22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85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5"/>
                <w:szCs w:val="15"/>
                <w:u w:val="none"/>
              </w:rPr>
            </w:pPr>
            <w:r>
              <w:rPr>
                <w:rStyle w:val="24"/>
                <w:rFonts w:hint="eastAsia" w:ascii="宋体" w:hAnsi="宋体" w:eastAsia="宋体" w:cs="宋体"/>
                <w:sz w:val="15"/>
                <w:szCs w:val="15"/>
                <w:lang w:val="en-US" w:eastAsia="zh-CN" w:bidi="ar"/>
              </w:rPr>
              <w:t>储备资本要求（%）</w:t>
            </w:r>
          </w:p>
        </w:tc>
        <w:tc>
          <w:tcPr>
            <w:tcW w:w="7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2.50%</w:t>
            </w:r>
          </w:p>
        </w:tc>
        <w:tc>
          <w:tcPr>
            <w:tcW w:w="7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2.50%</w:t>
            </w:r>
          </w:p>
        </w:tc>
        <w:tc>
          <w:tcPr>
            <w:tcW w:w="7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2.50%</w:t>
            </w:r>
          </w:p>
        </w:tc>
        <w:tc>
          <w:tcPr>
            <w:tcW w:w="7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2.50%</w:t>
            </w:r>
          </w:p>
        </w:tc>
        <w:tc>
          <w:tcPr>
            <w:tcW w:w="78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22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w:t>
            </w:r>
          </w:p>
        </w:tc>
        <w:tc>
          <w:tcPr>
            <w:tcW w:w="85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5"/>
                <w:szCs w:val="15"/>
                <w:u w:val="none"/>
              </w:rPr>
            </w:pPr>
            <w:r>
              <w:rPr>
                <w:rStyle w:val="24"/>
                <w:rFonts w:hint="eastAsia" w:ascii="宋体" w:hAnsi="宋体" w:eastAsia="宋体" w:cs="宋体"/>
                <w:sz w:val="15"/>
                <w:szCs w:val="15"/>
                <w:lang w:val="en-US" w:eastAsia="zh-CN" w:bidi="ar"/>
              </w:rPr>
              <w:t>逆周期资本要求（%）</w:t>
            </w:r>
          </w:p>
        </w:tc>
        <w:tc>
          <w:tcPr>
            <w:tcW w:w="7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_</w:t>
            </w:r>
          </w:p>
        </w:tc>
        <w:tc>
          <w:tcPr>
            <w:tcW w:w="7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_</w:t>
            </w:r>
          </w:p>
        </w:tc>
        <w:tc>
          <w:tcPr>
            <w:tcW w:w="7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_</w:t>
            </w:r>
          </w:p>
        </w:tc>
        <w:tc>
          <w:tcPr>
            <w:tcW w:w="7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_</w:t>
            </w:r>
          </w:p>
        </w:tc>
        <w:tc>
          <w:tcPr>
            <w:tcW w:w="78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22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85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5"/>
                <w:szCs w:val="15"/>
                <w:u w:val="none"/>
              </w:rPr>
            </w:pPr>
            <w:r>
              <w:rPr>
                <w:rStyle w:val="24"/>
                <w:rFonts w:hint="eastAsia" w:ascii="宋体" w:hAnsi="宋体" w:eastAsia="宋体" w:cs="宋体"/>
                <w:sz w:val="15"/>
                <w:szCs w:val="15"/>
                <w:lang w:val="en-US" w:eastAsia="zh-CN" w:bidi="ar"/>
              </w:rPr>
              <w:t>全球系统重要性银行或国内系统重要性银行附加资本要求（%）</w:t>
            </w:r>
          </w:p>
        </w:tc>
        <w:tc>
          <w:tcPr>
            <w:tcW w:w="7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_</w:t>
            </w:r>
          </w:p>
        </w:tc>
        <w:tc>
          <w:tcPr>
            <w:tcW w:w="7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_</w:t>
            </w:r>
          </w:p>
        </w:tc>
        <w:tc>
          <w:tcPr>
            <w:tcW w:w="7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_</w:t>
            </w:r>
          </w:p>
        </w:tc>
        <w:tc>
          <w:tcPr>
            <w:tcW w:w="7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_</w:t>
            </w:r>
          </w:p>
        </w:tc>
        <w:tc>
          <w:tcPr>
            <w:tcW w:w="78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22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w:t>
            </w:r>
          </w:p>
        </w:tc>
        <w:tc>
          <w:tcPr>
            <w:tcW w:w="85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5"/>
                <w:szCs w:val="15"/>
                <w:u w:val="none"/>
              </w:rPr>
            </w:pPr>
            <w:r>
              <w:rPr>
                <w:rStyle w:val="24"/>
                <w:rFonts w:hint="eastAsia" w:ascii="宋体" w:hAnsi="宋体" w:eastAsia="宋体" w:cs="宋体"/>
                <w:sz w:val="15"/>
                <w:szCs w:val="15"/>
                <w:lang w:val="en-US" w:eastAsia="zh-CN" w:bidi="ar"/>
              </w:rPr>
              <w:t>其他各级资本要求（%）（8+9+10）</w:t>
            </w:r>
          </w:p>
        </w:tc>
        <w:tc>
          <w:tcPr>
            <w:tcW w:w="7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2.50%</w:t>
            </w:r>
          </w:p>
        </w:tc>
        <w:tc>
          <w:tcPr>
            <w:tcW w:w="7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2.50%</w:t>
            </w:r>
          </w:p>
        </w:tc>
        <w:tc>
          <w:tcPr>
            <w:tcW w:w="7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2.50%</w:t>
            </w:r>
          </w:p>
        </w:tc>
        <w:tc>
          <w:tcPr>
            <w:tcW w:w="7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2.50%</w:t>
            </w:r>
          </w:p>
        </w:tc>
        <w:tc>
          <w:tcPr>
            <w:tcW w:w="78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22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w:t>
            </w:r>
          </w:p>
        </w:tc>
        <w:tc>
          <w:tcPr>
            <w:tcW w:w="85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5"/>
                <w:szCs w:val="15"/>
                <w:u w:val="none"/>
              </w:rPr>
            </w:pPr>
            <w:r>
              <w:rPr>
                <w:rStyle w:val="24"/>
                <w:rFonts w:hint="eastAsia" w:ascii="宋体" w:hAnsi="宋体" w:eastAsia="宋体" w:cs="宋体"/>
                <w:sz w:val="15"/>
                <w:szCs w:val="15"/>
                <w:lang w:val="en-US" w:eastAsia="zh-CN" w:bidi="ar"/>
              </w:rPr>
              <w:t>满足最低资本要求后的可用核心一级资本净额占风险加权资产的比例（%）</w:t>
            </w:r>
          </w:p>
        </w:tc>
        <w:tc>
          <w:tcPr>
            <w:tcW w:w="7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3.58%</w:t>
            </w:r>
          </w:p>
        </w:tc>
        <w:tc>
          <w:tcPr>
            <w:tcW w:w="7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4.22%</w:t>
            </w:r>
          </w:p>
        </w:tc>
        <w:tc>
          <w:tcPr>
            <w:tcW w:w="7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9.26%</w:t>
            </w:r>
          </w:p>
        </w:tc>
        <w:tc>
          <w:tcPr>
            <w:tcW w:w="7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9.78%</w:t>
            </w:r>
          </w:p>
        </w:tc>
        <w:tc>
          <w:tcPr>
            <w:tcW w:w="78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5000" w:type="pct"/>
            <w:gridSpan w:val="7"/>
            <w:tcBorders>
              <w:tl2br w:val="nil"/>
              <w:tr2bl w:val="nil"/>
            </w:tcBorders>
            <w:shd w:val="clear" w:color="auto" w:fill="D9D9D9"/>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杠杆率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22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85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调整后表内外资产余额</w:t>
            </w:r>
          </w:p>
        </w:tc>
        <w:tc>
          <w:tcPr>
            <w:tcW w:w="7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1,527,350.97</w:t>
            </w:r>
          </w:p>
        </w:tc>
        <w:tc>
          <w:tcPr>
            <w:tcW w:w="7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1,435,738.86</w:t>
            </w:r>
          </w:p>
        </w:tc>
        <w:tc>
          <w:tcPr>
            <w:tcW w:w="7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993,943.52</w:t>
            </w:r>
          </w:p>
        </w:tc>
        <w:tc>
          <w:tcPr>
            <w:tcW w:w="7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971,623.97</w:t>
            </w:r>
          </w:p>
        </w:tc>
        <w:tc>
          <w:tcPr>
            <w:tcW w:w="78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1,045,424.84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224" w:type="pct"/>
            <w:tcBorders>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w:t>
            </w:r>
          </w:p>
        </w:tc>
        <w:tc>
          <w:tcPr>
            <w:tcW w:w="856" w:type="pct"/>
            <w:tcBorders>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5"/>
                <w:szCs w:val="15"/>
                <w:u w:val="none"/>
              </w:rPr>
            </w:pPr>
            <w:r>
              <w:rPr>
                <w:rStyle w:val="24"/>
                <w:rFonts w:hint="eastAsia" w:ascii="宋体" w:hAnsi="宋体" w:eastAsia="宋体" w:cs="宋体"/>
                <w:sz w:val="15"/>
                <w:szCs w:val="15"/>
                <w:lang w:val="en-US" w:eastAsia="zh-CN" w:bidi="ar"/>
              </w:rPr>
              <w:t>杠杆率（%）</w:t>
            </w:r>
          </w:p>
        </w:tc>
        <w:tc>
          <w:tcPr>
            <w:tcW w:w="783" w:type="pct"/>
            <w:tcBorders>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8.31%</w:t>
            </w:r>
          </w:p>
        </w:tc>
        <w:tc>
          <w:tcPr>
            <w:tcW w:w="783" w:type="pct"/>
            <w:tcBorders>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8.81%</w:t>
            </w:r>
          </w:p>
        </w:tc>
        <w:tc>
          <w:tcPr>
            <w:tcW w:w="783" w:type="pct"/>
            <w:tcBorders>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12.75%</w:t>
            </w:r>
          </w:p>
        </w:tc>
        <w:tc>
          <w:tcPr>
            <w:tcW w:w="783" w:type="pct"/>
            <w:tcBorders>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12.83%</w:t>
            </w:r>
          </w:p>
        </w:tc>
        <w:tc>
          <w:tcPr>
            <w:tcW w:w="784" w:type="pct"/>
            <w:tcBorders>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224" w:type="pct"/>
            <w:tcBorders>
              <w:top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Style w:val="24"/>
                <w:rFonts w:hint="eastAsia" w:ascii="宋体" w:hAnsi="宋体" w:eastAsia="宋体" w:cs="宋体"/>
                <w:sz w:val="15"/>
                <w:szCs w:val="15"/>
                <w:lang w:val="en-US" w:eastAsia="zh-CN" w:bidi="ar"/>
              </w:rPr>
              <w:t>14a</w:t>
            </w:r>
          </w:p>
        </w:tc>
        <w:tc>
          <w:tcPr>
            <w:tcW w:w="856" w:type="pct"/>
            <w:tcBorders>
              <w:top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5"/>
                <w:szCs w:val="15"/>
                <w:u w:val="none"/>
              </w:rPr>
            </w:pPr>
            <w:r>
              <w:rPr>
                <w:rStyle w:val="24"/>
                <w:rFonts w:hint="eastAsia" w:ascii="宋体" w:hAnsi="宋体" w:eastAsia="宋体" w:cs="宋体"/>
                <w:sz w:val="15"/>
                <w:szCs w:val="15"/>
                <w:lang w:val="en-US" w:eastAsia="zh-CN" w:bidi="ar"/>
              </w:rPr>
              <w:t>杠杆率a（%）</w:t>
            </w:r>
          </w:p>
        </w:tc>
        <w:tc>
          <w:tcPr>
            <w:tcW w:w="783" w:type="pct"/>
            <w:tcBorders>
              <w:top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8.31%</w:t>
            </w:r>
          </w:p>
        </w:tc>
        <w:tc>
          <w:tcPr>
            <w:tcW w:w="783" w:type="pct"/>
            <w:tcBorders>
              <w:top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8.81%</w:t>
            </w:r>
          </w:p>
        </w:tc>
        <w:tc>
          <w:tcPr>
            <w:tcW w:w="783" w:type="pct"/>
            <w:tcBorders>
              <w:top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12.75%</w:t>
            </w:r>
          </w:p>
        </w:tc>
        <w:tc>
          <w:tcPr>
            <w:tcW w:w="783" w:type="pct"/>
            <w:tcBorders>
              <w:top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12.83%</w:t>
            </w:r>
          </w:p>
        </w:tc>
        <w:tc>
          <w:tcPr>
            <w:tcW w:w="784" w:type="pct"/>
            <w:tcBorders>
              <w:top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5000" w:type="pct"/>
            <w:gridSpan w:val="7"/>
            <w:tcBorders>
              <w:tl2br w:val="nil"/>
              <w:tr2bl w:val="nil"/>
            </w:tcBorders>
            <w:shd w:val="clear" w:color="auto" w:fill="D9D9D9"/>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流动性覆盖率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22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w:t>
            </w:r>
          </w:p>
        </w:tc>
        <w:tc>
          <w:tcPr>
            <w:tcW w:w="85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合格优质流动性资产</w:t>
            </w:r>
          </w:p>
        </w:tc>
        <w:tc>
          <w:tcPr>
            <w:tcW w:w="7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不适用</w:t>
            </w:r>
          </w:p>
        </w:tc>
        <w:tc>
          <w:tcPr>
            <w:tcW w:w="7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不适用</w:t>
            </w:r>
          </w:p>
        </w:tc>
        <w:tc>
          <w:tcPr>
            <w:tcW w:w="7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不适用</w:t>
            </w:r>
          </w:p>
        </w:tc>
        <w:tc>
          <w:tcPr>
            <w:tcW w:w="7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不适用</w:t>
            </w:r>
          </w:p>
        </w:tc>
        <w:tc>
          <w:tcPr>
            <w:tcW w:w="78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不适用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22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w:t>
            </w:r>
          </w:p>
        </w:tc>
        <w:tc>
          <w:tcPr>
            <w:tcW w:w="85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现金净流出量</w:t>
            </w:r>
          </w:p>
        </w:tc>
        <w:tc>
          <w:tcPr>
            <w:tcW w:w="7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不适用</w:t>
            </w:r>
          </w:p>
        </w:tc>
        <w:tc>
          <w:tcPr>
            <w:tcW w:w="7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不适用</w:t>
            </w:r>
          </w:p>
        </w:tc>
        <w:tc>
          <w:tcPr>
            <w:tcW w:w="7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不适用</w:t>
            </w:r>
          </w:p>
        </w:tc>
        <w:tc>
          <w:tcPr>
            <w:tcW w:w="7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不适用</w:t>
            </w:r>
          </w:p>
        </w:tc>
        <w:tc>
          <w:tcPr>
            <w:tcW w:w="78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不适用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22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w:t>
            </w:r>
          </w:p>
        </w:tc>
        <w:tc>
          <w:tcPr>
            <w:tcW w:w="85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5"/>
                <w:szCs w:val="15"/>
                <w:u w:val="none"/>
              </w:rPr>
            </w:pPr>
            <w:r>
              <w:rPr>
                <w:rStyle w:val="24"/>
                <w:rFonts w:hint="eastAsia" w:ascii="宋体" w:hAnsi="宋体" w:eastAsia="宋体" w:cs="宋体"/>
                <w:sz w:val="15"/>
                <w:szCs w:val="15"/>
                <w:lang w:val="en-US" w:eastAsia="zh-CN" w:bidi="ar"/>
              </w:rPr>
              <w:t>流动性覆盖率（%）</w:t>
            </w:r>
          </w:p>
        </w:tc>
        <w:tc>
          <w:tcPr>
            <w:tcW w:w="7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不适用</w:t>
            </w:r>
          </w:p>
        </w:tc>
        <w:tc>
          <w:tcPr>
            <w:tcW w:w="7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不适用</w:t>
            </w:r>
          </w:p>
        </w:tc>
        <w:tc>
          <w:tcPr>
            <w:tcW w:w="7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不适用</w:t>
            </w:r>
          </w:p>
        </w:tc>
        <w:tc>
          <w:tcPr>
            <w:tcW w:w="7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不适用</w:t>
            </w:r>
          </w:p>
        </w:tc>
        <w:tc>
          <w:tcPr>
            <w:tcW w:w="78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不适用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454" w:hRule="atLeast"/>
          <w:jc w:val="center"/>
        </w:trPr>
        <w:tc>
          <w:tcPr>
            <w:tcW w:w="5000" w:type="pct"/>
            <w:gridSpan w:val="7"/>
            <w:tcBorders>
              <w:tl2br w:val="nil"/>
              <w:tr2bl w:val="nil"/>
            </w:tcBorders>
            <w:shd w:val="clear" w:color="auto" w:fill="D9D9D9"/>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净稳定资金比例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22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w:t>
            </w:r>
          </w:p>
        </w:tc>
        <w:tc>
          <w:tcPr>
            <w:tcW w:w="85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可用稳定资金合计</w:t>
            </w:r>
          </w:p>
        </w:tc>
        <w:tc>
          <w:tcPr>
            <w:tcW w:w="7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不适用</w:t>
            </w:r>
          </w:p>
        </w:tc>
        <w:tc>
          <w:tcPr>
            <w:tcW w:w="7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不适用</w:t>
            </w:r>
          </w:p>
        </w:tc>
        <w:tc>
          <w:tcPr>
            <w:tcW w:w="7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不适用</w:t>
            </w:r>
          </w:p>
        </w:tc>
        <w:tc>
          <w:tcPr>
            <w:tcW w:w="7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不适用</w:t>
            </w:r>
          </w:p>
        </w:tc>
        <w:tc>
          <w:tcPr>
            <w:tcW w:w="78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不适用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22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w:t>
            </w:r>
          </w:p>
        </w:tc>
        <w:tc>
          <w:tcPr>
            <w:tcW w:w="85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所需稳定资金合计</w:t>
            </w:r>
          </w:p>
        </w:tc>
        <w:tc>
          <w:tcPr>
            <w:tcW w:w="7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不适用</w:t>
            </w:r>
          </w:p>
        </w:tc>
        <w:tc>
          <w:tcPr>
            <w:tcW w:w="7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不适用</w:t>
            </w:r>
          </w:p>
        </w:tc>
        <w:tc>
          <w:tcPr>
            <w:tcW w:w="7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不适用</w:t>
            </w:r>
          </w:p>
        </w:tc>
        <w:tc>
          <w:tcPr>
            <w:tcW w:w="7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不适用</w:t>
            </w:r>
          </w:p>
        </w:tc>
        <w:tc>
          <w:tcPr>
            <w:tcW w:w="78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不适用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22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85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5"/>
                <w:szCs w:val="15"/>
                <w:u w:val="none"/>
              </w:rPr>
            </w:pPr>
            <w:r>
              <w:rPr>
                <w:rStyle w:val="24"/>
                <w:rFonts w:hint="eastAsia" w:ascii="宋体" w:hAnsi="宋体" w:eastAsia="宋体" w:cs="宋体"/>
                <w:sz w:val="15"/>
                <w:szCs w:val="15"/>
                <w:lang w:val="en-US" w:eastAsia="zh-CN" w:bidi="ar"/>
              </w:rPr>
              <w:t>净稳定资金比例（%）</w:t>
            </w:r>
          </w:p>
        </w:tc>
        <w:tc>
          <w:tcPr>
            <w:tcW w:w="7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不适用</w:t>
            </w:r>
          </w:p>
        </w:tc>
        <w:tc>
          <w:tcPr>
            <w:tcW w:w="7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不适用</w:t>
            </w:r>
          </w:p>
        </w:tc>
        <w:tc>
          <w:tcPr>
            <w:tcW w:w="7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不适用</w:t>
            </w:r>
          </w:p>
        </w:tc>
        <w:tc>
          <w:tcPr>
            <w:tcW w:w="7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不适用</w:t>
            </w:r>
          </w:p>
        </w:tc>
        <w:tc>
          <w:tcPr>
            <w:tcW w:w="78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不适用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5000" w:type="pct"/>
            <w:gridSpan w:val="7"/>
            <w:tcBorders>
              <w:tl2br w:val="nil"/>
              <w:tr2bl w:val="nil"/>
            </w:tcBorders>
            <w:shd w:val="clear" w:color="auto" w:fill="D8D8D8"/>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流动性比例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22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w:t>
            </w:r>
          </w:p>
        </w:tc>
        <w:tc>
          <w:tcPr>
            <w:tcW w:w="85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5"/>
                <w:szCs w:val="15"/>
                <w:u w:val="none"/>
              </w:rPr>
            </w:pPr>
            <w:r>
              <w:rPr>
                <w:rStyle w:val="24"/>
                <w:rFonts w:hint="eastAsia" w:ascii="宋体" w:hAnsi="宋体" w:eastAsia="宋体" w:cs="宋体"/>
                <w:sz w:val="15"/>
                <w:szCs w:val="15"/>
                <w:lang w:val="en-US" w:eastAsia="zh-CN" w:bidi="ar"/>
              </w:rPr>
              <w:t>流动性比例（%）</w:t>
            </w:r>
          </w:p>
        </w:tc>
        <w:tc>
          <w:tcPr>
            <w:tcW w:w="7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1168.00%</w:t>
            </w:r>
          </w:p>
        </w:tc>
        <w:tc>
          <w:tcPr>
            <w:tcW w:w="7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127.66%</w:t>
            </w:r>
          </w:p>
        </w:tc>
        <w:tc>
          <w:tcPr>
            <w:tcW w:w="7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380.69%</w:t>
            </w:r>
          </w:p>
        </w:tc>
        <w:tc>
          <w:tcPr>
            <w:tcW w:w="78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7349.57%</w:t>
            </w:r>
          </w:p>
        </w:tc>
        <w:tc>
          <w:tcPr>
            <w:tcW w:w="78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5787.11%</w:t>
            </w:r>
          </w:p>
        </w:tc>
      </w:tr>
    </w:tbl>
    <w:p>
      <w:pPr>
        <w:rPr>
          <w:rFonts w:hint="eastAsia" w:ascii="仿宋" w:hAnsi="仿宋" w:eastAsia="仿宋" w:cs="仿宋"/>
          <w:b w:val="0"/>
          <w:bCs w:val="0"/>
          <w:sz w:val="21"/>
          <w:szCs w:val="21"/>
          <w:highlight w:val="none"/>
          <w:lang w:val="en-US" w:eastAsia="zh-CN"/>
        </w:rPr>
      </w:pPr>
    </w:p>
    <w:p/>
    <w:sectPr>
      <w:footerReference r:id="rId5"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EYInterstate Light">
    <w:altName w:val="Segoe Print"/>
    <w:panose1 w:val="00000000000000000000"/>
    <w:charset w:val="00"/>
    <w:family w:val="auto"/>
    <w:pitch w:val="default"/>
    <w:sig w:usb0="00000000" w:usb1="00000000" w:usb2="00000000" w:usb3="00000000" w:csb0="0000009F" w:csb1="00000000"/>
  </w:font>
  <w:font w:name="仿宋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Calibri" w:hAnsi="Calibri" w:eastAsia="宋体"/>
        <w:sz w:val="21"/>
        <w:szCs w:val="22"/>
      </w:rPr>
      <w:id w:val="165006532"/>
    </w:sdtPr>
    <w:sdtEndPr>
      <w:rPr>
        <w:rFonts w:ascii="Calibri" w:hAnsi="Calibri" w:eastAsia="宋体"/>
        <w:sz w:val="18"/>
        <w:szCs w:val="18"/>
      </w:rPr>
    </w:sdtEndPr>
    <w:sdtContent>
      <w:p>
        <w:pPr>
          <w:tabs>
            <w:tab w:val="center" w:pos="4153"/>
            <w:tab w:val="right" w:pos="8306"/>
          </w:tabs>
          <w:snapToGrid w:val="0"/>
          <w:jc w:val="center"/>
          <w:rPr>
            <w:rFonts w:ascii="Calibri" w:hAnsi="Calibri" w:eastAsia="宋体"/>
            <w:sz w:val="18"/>
            <w:szCs w:val="18"/>
          </w:rPr>
        </w:pPr>
        <w:r>
          <w:rPr>
            <w:rFonts w:ascii="Calibri" w:hAnsi="Calibri" w:eastAsia="宋体"/>
            <w:sz w:val="18"/>
            <w:szCs w:val="18"/>
            <w:lang w:val="zh-CN"/>
          </w:rPr>
          <w:fldChar w:fldCharType="begin"/>
        </w:r>
        <w:r>
          <w:rPr>
            <w:rFonts w:ascii="Calibri" w:hAnsi="Calibri" w:eastAsia="宋体"/>
            <w:sz w:val="18"/>
            <w:szCs w:val="18"/>
            <w:lang w:val="zh-CN"/>
          </w:rPr>
          <w:instrText xml:space="preserve"> PAGE   \* MERGEFORMAT </w:instrText>
        </w:r>
        <w:r>
          <w:rPr>
            <w:rFonts w:ascii="Calibri" w:hAnsi="Calibri" w:eastAsia="宋体"/>
            <w:sz w:val="18"/>
            <w:szCs w:val="18"/>
            <w:lang w:val="zh-CN"/>
          </w:rPr>
          <w:fldChar w:fldCharType="separate"/>
        </w:r>
        <w:r>
          <w:rPr>
            <w:rFonts w:ascii="Calibri" w:hAnsi="Calibri" w:eastAsia="宋体"/>
            <w:sz w:val="18"/>
            <w:szCs w:val="18"/>
            <w:lang w:val="zh-CN"/>
          </w:rPr>
          <w:t>8</w:t>
        </w:r>
        <w:r>
          <w:rPr>
            <w:rFonts w:ascii="Calibri" w:hAnsi="Calibri" w:eastAsia="宋体"/>
            <w:sz w:val="18"/>
            <w:szCs w:val="18"/>
            <w:lang w:val="zh-CN"/>
          </w:rPr>
          <w:fldChar w:fldCharType="end"/>
        </w:r>
      </w:p>
    </w:sdtContent>
  </w:sdt>
  <w:p>
    <w:pPr>
      <w:tabs>
        <w:tab w:val="center" w:pos="4153"/>
        <w:tab w:val="right" w:pos="8306"/>
      </w:tabs>
      <w:snapToGrid w:val="0"/>
      <w:jc w:val="left"/>
      <w:rPr>
        <w:rFonts w:ascii="Calibri" w:hAnsi="Calibri" w:eastAsia="宋体"/>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C28"/>
    <w:rsid w:val="000F1B85"/>
    <w:rsid w:val="006B69B3"/>
    <w:rsid w:val="008F38BA"/>
    <w:rsid w:val="00930BF9"/>
    <w:rsid w:val="00E37486"/>
    <w:rsid w:val="00F01061"/>
    <w:rsid w:val="00F801AC"/>
    <w:rsid w:val="01DD768A"/>
    <w:rsid w:val="01F2753D"/>
    <w:rsid w:val="024768F0"/>
    <w:rsid w:val="034F7A08"/>
    <w:rsid w:val="04513BA5"/>
    <w:rsid w:val="052267EA"/>
    <w:rsid w:val="059E72F2"/>
    <w:rsid w:val="063B5063"/>
    <w:rsid w:val="0643490F"/>
    <w:rsid w:val="07F40047"/>
    <w:rsid w:val="08294541"/>
    <w:rsid w:val="0B386F97"/>
    <w:rsid w:val="0D172CE2"/>
    <w:rsid w:val="0D9848DC"/>
    <w:rsid w:val="0EE67E9C"/>
    <w:rsid w:val="0F357E9E"/>
    <w:rsid w:val="10910166"/>
    <w:rsid w:val="10CC699D"/>
    <w:rsid w:val="11033C90"/>
    <w:rsid w:val="11E31C48"/>
    <w:rsid w:val="137C539F"/>
    <w:rsid w:val="18C865AC"/>
    <w:rsid w:val="1AAD00EF"/>
    <w:rsid w:val="1EBC0416"/>
    <w:rsid w:val="1F177D0F"/>
    <w:rsid w:val="233A2037"/>
    <w:rsid w:val="25590322"/>
    <w:rsid w:val="25B4291C"/>
    <w:rsid w:val="286D0937"/>
    <w:rsid w:val="28C325D2"/>
    <w:rsid w:val="2A77466A"/>
    <w:rsid w:val="2B721945"/>
    <w:rsid w:val="2BC27E24"/>
    <w:rsid w:val="2C7A6C7D"/>
    <w:rsid w:val="2DB90AF9"/>
    <w:rsid w:val="2DDF19D2"/>
    <w:rsid w:val="302B09F2"/>
    <w:rsid w:val="309C68F5"/>
    <w:rsid w:val="30E10A56"/>
    <w:rsid w:val="31066CA8"/>
    <w:rsid w:val="32AB3874"/>
    <w:rsid w:val="32FC4557"/>
    <w:rsid w:val="32FE175E"/>
    <w:rsid w:val="350C6980"/>
    <w:rsid w:val="351160A3"/>
    <w:rsid w:val="356F058B"/>
    <w:rsid w:val="373D712B"/>
    <w:rsid w:val="37607F59"/>
    <w:rsid w:val="37F21D1B"/>
    <w:rsid w:val="381B27FE"/>
    <w:rsid w:val="3821733D"/>
    <w:rsid w:val="39732C58"/>
    <w:rsid w:val="3A4608C5"/>
    <w:rsid w:val="3B96353D"/>
    <w:rsid w:val="3BB210C9"/>
    <w:rsid w:val="3C3F0D49"/>
    <w:rsid w:val="3D9D71DC"/>
    <w:rsid w:val="3DB878BC"/>
    <w:rsid w:val="3EBD1A76"/>
    <w:rsid w:val="3F16152A"/>
    <w:rsid w:val="3FAC0FF1"/>
    <w:rsid w:val="40ED3437"/>
    <w:rsid w:val="420B7093"/>
    <w:rsid w:val="422441FA"/>
    <w:rsid w:val="42C648D3"/>
    <w:rsid w:val="44092746"/>
    <w:rsid w:val="488A3088"/>
    <w:rsid w:val="48D95E07"/>
    <w:rsid w:val="495010D7"/>
    <w:rsid w:val="4A4E42C0"/>
    <w:rsid w:val="4C443761"/>
    <w:rsid w:val="4CC450B6"/>
    <w:rsid w:val="4CE444B6"/>
    <w:rsid w:val="4DB13536"/>
    <w:rsid w:val="4E433772"/>
    <w:rsid w:val="4E9713D9"/>
    <w:rsid w:val="502A5F19"/>
    <w:rsid w:val="527A02DF"/>
    <w:rsid w:val="5480192E"/>
    <w:rsid w:val="549B386B"/>
    <w:rsid w:val="5545599C"/>
    <w:rsid w:val="56076A84"/>
    <w:rsid w:val="570375C9"/>
    <w:rsid w:val="575678CC"/>
    <w:rsid w:val="58FE57CE"/>
    <w:rsid w:val="593D12DB"/>
    <w:rsid w:val="5A566FEC"/>
    <w:rsid w:val="5AA32ECB"/>
    <w:rsid w:val="5B3D2303"/>
    <w:rsid w:val="5C10193D"/>
    <w:rsid w:val="5C5C5F3F"/>
    <w:rsid w:val="5CBC7A30"/>
    <w:rsid w:val="5CD30829"/>
    <w:rsid w:val="5D4D24C3"/>
    <w:rsid w:val="5DAD533E"/>
    <w:rsid w:val="5F366EF9"/>
    <w:rsid w:val="5FA86DEE"/>
    <w:rsid w:val="61C77098"/>
    <w:rsid w:val="63D11BA5"/>
    <w:rsid w:val="64996CCF"/>
    <w:rsid w:val="66E36BDD"/>
    <w:rsid w:val="6BB10653"/>
    <w:rsid w:val="6BCE176C"/>
    <w:rsid w:val="702951B3"/>
    <w:rsid w:val="707B0109"/>
    <w:rsid w:val="71602412"/>
    <w:rsid w:val="732D420A"/>
    <w:rsid w:val="739A5C64"/>
    <w:rsid w:val="749C18DF"/>
    <w:rsid w:val="751D1FC3"/>
    <w:rsid w:val="7536625B"/>
    <w:rsid w:val="755225E1"/>
    <w:rsid w:val="78A22678"/>
    <w:rsid w:val="796A69DC"/>
    <w:rsid w:val="79920715"/>
    <w:rsid w:val="79941BA4"/>
    <w:rsid w:val="79D722EB"/>
    <w:rsid w:val="7AC544ED"/>
    <w:rsid w:val="7B3D42B2"/>
    <w:rsid w:val="7B751FAF"/>
    <w:rsid w:val="7CC40E86"/>
    <w:rsid w:val="7DF707C6"/>
    <w:rsid w:val="7ED144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jc w:val="both"/>
    </w:pPr>
    <w:rPr>
      <w:rFonts w:ascii="Times New Roman" w:hAnsi="Times New Roman" w:eastAsia="仿宋" w:cs="Times New Roman"/>
      <w:kern w:val="2"/>
      <w:sz w:val="32"/>
      <w:szCs w:val="24"/>
      <w:lang w:val="en-US" w:eastAsia="zh-CN" w:bidi="ar-SA"/>
    </w:rPr>
  </w:style>
  <w:style w:type="paragraph" w:styleId="2">
    <w:name w:val="heading 1"/>
    <w:basedOn w:val="1"/>
    <w:next w:val="1"/>
    <w:qFormat/>
    <w:uiPriority w:val="0"/>
    <w:pPr>
      <w:keepNext/>
      <w:keepLines/>
      <w:spacing w:line="240" w:lineRule="auto"/>
      <w:jc w:val="center"/>
      <w:outlineLvl w:val="0"/>
    </w:pPr>
    <w:rPr>
      <w:rFonts w:eastAsia="宋体"/>
      <w:b/>
      <w:kern w:val="44"/>
      <w:sz w:val="44"/>
    </w:rPr>
  </w:style>
  <w:style w:type="paragraph" w:styleId="3">
    <w:name w:val="heading 2"/>
    <w:basedOn w:val="1"/>
    <w:next w:val="1"/>
    <w:qFormat/>
    <w:uiPriority w:val="9"/>
    <w:pPr>
      <w:keepNext/>
      <w:keepLines/>
      <w:spacing w:before="120" w:after="120" w:line="360" w:lineRule="auto"/>
      <w:outlineLvl w:val="1"/>
    </w:pPr>
    <w:rPr>
      <w:rFonts w:ascii="Cambria" w:hAnsi="Cambria" w:eastAsia="宋体"/>
      <w:b/>
      <w:bCs/>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next w:val="6"/>
    <w:qFormat/>
    <w:uiPriority w:val="0"/>
    <w:pPr>
      <w:widowControl w:val="0"/>
      <w:spacing w:after="120" w:line="600" w:lineRule="exact"/>
      <w:jc w:val="both"/>
    </w:pPr>
    <w:rPr>
      <w:rFonts w:ascii="Times New Roman" w:hAnsi="Times New Roman" w:eastAsia="仿宋" w:cs="Times New Roman"/>
      <w:kern w:val="2"/>
      <w:sz w:val="32"/>
      <w:szCs w:val="24"/>
      <w:lang w:val="en-US" w:eastAsia="zh-CN" w:bidi="ar-SA"/>
    </w:rPr>
  </w:style>
  <w:style w:type="paragraph" w:styleId="6">
    <w:name w:val="Body Text First Indent"/>
    <w:qFormat/>
    <w:uiPriority w:val="0"/>
    <w:pPr>
      <w:widowControl w:val="0"/>
      <w:spacing w:after="120" w:line="520" w:lineRule="exact"/>
      <w:ind w:firstLine="400" w:firstLineChars="200"/>
      <w:jc w:val="both"/>
    </w:pPr>
    <w:rPr>
      <w:rFonts w:ascii="Times New Roman" w:hAnsi="Times New Roman" w:eastAsia="仿宋" w:cs="Times New Roman"/>
      <w:kern w:val="2"/>
      <w:sz w:val="32"/>
      <w:szCs w:val="24"/>
      <w:lang w:val="en-US" w:eastAsia="zh-CN" w:bidi="ar-SA"/>
    </w:rPr>
  </w:style>
  <w:style w:type="paragraph" w:styleId="7">
    <w:name w:val="Balloon Text"/>
    <w:basedOn w:val="1"/>
    <w:link w:val="16"/>
    <w:qFormat/>
    <w:uiPriority w:val="0"/>
    <w:pPr>
      <w:spacing w:line="240" w:lineRule="auto"/>
    </w:pPr>
    <w:rPr>
      <w:sz w:val="18"/>
      <w:szCs w:val="18"/>
    </w:rPr>
  </w:style>
  <w:style w:type="paragraph" w:styleId="8">
    <w:name w:val="footer"/>
    <w:basedOn w:val="1"/>
    <w:link w:val="18"/>
    <w:qFormat/>
    <w:uiPriority w:val="0"/>
    <w:pPr>
      <w:tabs>
        <w:tab w:val="center" w:pos="4153"/>
        <w:tab w:val="right" w:pos="8306"/>
      </w:tabs>
      <w:snapToGrid w:val="0"/>
      <w:spacing w:line="240" w:lineRule="atLeast"/>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0">
    <w:name w:val="footnote text"/>
    <w:basedOn w:val="1"/>
    <w:unhideWhenUsed/>
    <w:qFormat/>
    <w:uiPriority w:val="99"/>
    <w:pPr>
      <w:snapToGrid w:val="0"/>
      <w:spacing w:line="240" w:lineRule="auto"/>
      <w:jc w:val="left"/>
    </w:pPr>
    <w:rPr>
      <w:rFonts w:eastAsia="宋体"/>
      <w:kern w:val="0"/>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
    <w:name w:val="footnote reference"/>
    <w:basedOn w:val="14"/>
    <w:unhideWhenUsed/>
    <w:qFormat/>
    <w:uiPriority w:val="99"/>
    <w:rPr>
      <w:rFonts w:ascii="Times New Roman" w:hAnsi="Times New Roman" w:eastAsia="宋体"/>
      <w:sz w:val="20"/>
      <w:vertAlign w:val="superscript"/>
    </w:rPr>
  </w:style>
  <w:style w:type="character" w:customStyle="1" w:styleId="16">
    <w:name w:val="批注框文本 Char"/>
    <w:basedOn w:val="14"/>
    <w:link w:val="7"/>
    <w:qFormat/>
    <w:uiPriority w:val="0"/>
    <w:rPr>
      <w:rFonts w:eastAsia="仿宋"/>
      <w:kern w:val="2"/>
      <w:sz w:val="18"/>
      <w:szCs w:val="18"/>
    </w:rPr>
  </w:style>
  <w:style w:type="character" w:customStyle="1" w:styleId="17">
    <w:name w:val="页眉 Char"/>
    <w:basedOn w:val="14"/>
    <w:link w:val="9"/>
    <w:qFormat/>
    <w:uiPriority w:val="0"/>
    <w:rPr>
      <w:rFonts w:eastAsia="仿宋"/>
      <w:kern w:val="2"/>
      <w:sz w:val="18"/>
      <w:szCs w:val="18"/>
    </w:rPr>
  </w:style>
  <w:style w:type="character" w:customStyle="1" w:styleId="18">
    <w:name w:val="页脚 Char"/>
    <w:basedOn w:val="14"/>
    <w:link w:val="8"/>
    <w:qFormat/>
    <w:uiPriority w:val="0"/>
    <w:rPr>
      <w:rFonts w:eastAsia="仿宋"/>
      <w:kern w:val="2"/>
      <w:sz w:val="18"/>
      <w:szCs w:val="18"/>
    </w:rPr>
  </w:style>
  <w:style w:type="paragraph" w:styleId="19">
    <w:name w:val="List Paragraph"/>
    <w:basedOn w:val="1"/>
    <w:qFormat/>
    <w:uiPriority w:val="99"/>
    <w:pPr>
      <w:ind w:firstLine="420" w:firstLineChars="200"/>
    </w:pPr>
  </w:style>
  <w:style w:type="paragraph" w:customStyle="1" w:styleId="20">
    <w:name w:val="EY Normal"/>
    <w:qFormat/>
    <w:uiPriority w:val="0"/>
    <w:rPr>
      <w:rFonts w:ascii="EYInterstate Light" w:hAnsi="EYInterstate Light" w:eastAsia="宋体" w:cs="Times New Roman"/>
      <w:kern w:val="12"/>
      <w:szCs w:val="24"/>
      <w:lang w:val="en-US" w:eastAsia="en-US" w:bidi="ar-SA"/>
    </w:rPr>
  </w:style>
  <w:style w:type="paragraph" w:customStyle="1" w:styleId="21">
    <w:name w:val="列表段落1"/>
    <w:basedOn w:val="1"/>
    <w:qFormat/>
    <w:uiPriority w:val="34"/>
    <w:pPr>
      <w:ind w:firstLine="420" w:firstLineChars="200"/>
    </w:pPr>
  </w:style>
  <w:style w:type="character" w:customStyle="1" w:styleId="22">
    <w:name w:val="font21"/>
    <w:basedOn w:val="14"/>
    <w:qFormat/>
    <w:uiPriority w:val="0"/>
    <w:rPr>
      <w:rFonts w:hint="eastAsia" w:ascii="仿宋_GB2312" w:eastAsia="仿宋_GB2312" w:cs="仿宋_GB2312"/>
      <w:color w:val="000000"/>
      <w:sz w:val="28"/>
      <w:szCs w:val="28"/>
      <w:u w:val="none"/>
    </w:rPr>
  </w:style>
  <w:style w:type="character" w:customStyle="1" w:styleId="23">
    <w:name w:val="font31"/>
    <w:basedOn w:val="14"/>
    <w:qFormat/>
    <w:uiPriority w:val="0"/>
    <w:rPr>
      <w:rFonts w:hint="eastAsia" w:ascii="仿宋_GB2312" w:eastAsia="仿宋_GB2312" w:cs="仿宋_GB2312"/>
      <w:b/>
      <w:bCs/>
      <w:color w:val="000000"/>
      <w:sz w:val="28"/>
      <w:szCs w:val="28"/>
      <w:u w:val="none"/>
    </w:rPr>
  </w:style>
  <w:style w:type="character" w:customStyle="1" w:styleId="24">
    <w:name w:val="font01"/>
    <w:basedOn w:val="14"/>
    <w:qFormat/>
    <w:uiPriority w:val="0"/>
    <w:rPr>
      <w:rFonts w:hint="eastAsia"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2</Pages>
  <Words>1540</Words>
  <Characters>8780</Characters>
  <Lines>73</Lines>
  <Paragraphs>20</Paragraphs>
  <TotalTime>11</TotalTime>
  <ScaleCrop>false</ScaleCrop>
  <LinksUpToDate>false</LinksUpToDate>
  <CharactersWithSpaces>10300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2022-04-24T07:49:00Z</dcterms:created>
  <dc:creator>郭丹婕</dc:creator>
  <cp:lastModifiedBy>郭丹婕</cp:lastModifiedBy>
  <cp:lastPrinted>2025-08-25T06:55:00Z</cp:lastPrinted>
  <dcterms:modified xsi:type="dcterms:W3CDTF">2025-10-24T06:36:27Z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1C9C79286EC74180BA57F8C62BE6EB40</vt:lpwstr>
  </property>
</Properties>
</file>